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32C74" w:rsidRPr="00232C74" w:rsidRDefault="00232C74" w:rsidP="00232C74">
      <w:pPr>
        <w:rPr>
          <w:b/>
          <w:sz w:val="32"/>
          <w:szCs w:val="32"/>
          <w:u w:val="single"/>
        </w:rPr>
      </w:pPr>
      <w:r w:rsidRPr="00232C74">
        <w:rPr>
          <w:b/>
          <w:sz w:val="32"/>
          <w:szCs w:val="32"/>
          <w:u w:val="single"/>
        </w:rPr>
        <w:t>II: Curriculum</w:t>
      </w:r>
    </w:p>
    <w:p w:rsidR="00232C74" w:rsidRDefault="00232C74" w:rsidP="00232C74">
      <w:pPr>
        <w:rPr>
          <w:sz w:val="32"/>
          <w:szCs w:val="32"/>
        </w:rPr>
      </w:pPr>
    </w:p>
    <w:p w:rsidR="00232C74" w:rsidRPr="00232C74" w:rsidRDefault="00232C74" w:rsidP="00232C74">
      <w:pPr>
        <w:rPr>
          <w:sz w:val="32"/>
          <w:szCs w:val="32"/>
        </w:rPr>
      </w:pPr>
      <w:r w:rsidRPr="00232C74">
        <w:rPr>
          <w:sz w:val="32"/>
          <w:szCs w:val="32"/>
        </w:rPr>
        <w:t>II.1 The curriculum is based on goals and objectives, and evolves in response to an ongoing systematic planning process. Within this general framework, the</w:t>
      </w:r>
      <w:r>
        <w:rPr>
          <w:sz w:val="32"/>
          <w:szCs w:val="32"/>
        </w:rPr>
        <w:t xml:space="preserve"> </w:t>
      </w:r>
      <w:r w:rsidRPr="00232C74">
        <w:rPr>
          <w:sz w:val="32"/>
          <w:szCs w:val="32"/>
        </w:rPr>
        <w:t>curriculum provides, through a variety of educational experiences, for the study of</w:t>
      </w:r>
    </w:p>
    <w:p w:rsidR="00232C74" w:rsidRPr="00232C74" w:rsidRDefault="00232C74" w:rsidP="00232C74">
      <w:pPr>
        <w:rPr>
          <w:sz w:val="32"/>
          <w:szCs w:val="32"/>
        </w:rPr>
      </w:pPr>
      <w:r w:rsidRPr="00232C74">
        <w:rPr>
          <w:sz w:val="32"/>
          <w:szCs w:val="32"/>
        </w:rPr>
        <w:t>theory, principles, practice, and values necessary for the provision of service in</w:t>
      </w:r>
      <w:r>
        <w:rPr>
          <w:sz w:val="32"/>
          <w:szCs w:val="32"/>
        </w:rPr>
        <w:t xml:space="preserve"> </w:t>
      </w:r>
      <w:r w:rsidRPr="00232C74">
        <w:rPr>
          <w:sz w:val="32"/>
          <w:szCs w:val="32"/>
        </w:rPr>
        <w:t>libraries and information agencies and in other contexts.</w:t>
      </w:r>
    </w:p>
    <w:p w:rsidR="00232C74" w:rsidRDefault="00232C74" w:rsidP="00232C74">
      <w:pPr>
        <w:rPr>
          <w:sz w:val="32"/>
          <w:szCs w:val="32"/>
          <w:u w:val="single"/>
        </w:rPr>
      </w:pPr>
    </w:p>
    <w:p w:rsidR="00232C74" w:rsidRDefault="00232C74" w:rsidP="00232C74">
      <w:pPr>
        <w:rPr>
          <w:sz w:val="32"/>
          <w:szCs w:val="32"/>
        </w:rPr>
      </w:pPr>
      <w:r w:rsidRPr="00232C74">
        <w:rPr>
          <w:sz w:val="32"/>
          <w:szCs w:val="32"/>
        </w:rPr>
        <w:t>Sources of evidence:</w:t>
      </w:r>
    </w:p>
    <w:p w:rsidR="009D0E7F" w:rsidRPr="005F2FE3" w:rsidRDefault="009D0E7F" w:rsidP="005F2FE3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5F2FE3">
        <w:rPr>
          <w:sz w:val="32"/>
          <w:szCs w:val="32"/>
        </w:rPr>
        <w:t>Syllabi for all active courses</w:t>
      </w:r>
    </w:p>
    <w:p w:rsidR="009D0E7F" w:rsidRDefault="00D940AB" w:rsidP="005F2FE3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Syllabi</w:t>
      </w:r>
      <w:r w:rsidR="009D0E7F" w:rsidRPr="005F2FE3">
        <w:rPr>
          <w:sz w:val="32"/>
          <w:szCs w:val="32"/>
        </w:rPr>
        <w:t xml:space="preserve"> matrix</w:t>
      </w:r>
      <w:r>
        <w:rPr>
          <w:sz w:val="32"/>
          <w:szCs w:val="32"/>
        </w:rPr>
        <w:t>: Program objectives</w:t>
      </w:r>
    </w:p>
    <w:p w:rsidR="001D1486" w:rsidRPr="005F2FE3" w:rsidRDefault="001D1486" w:rsidP="005F2FE3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Description of courses of study</w:t>
      </w:r>
    </w:p>
    <w:p w:rsidR="009D0E7F" w:rsidRPr="00232C74" w:rsidRDefault="009D0E7F" w:rsidP="001258A8">
      <w:pPr>
        <w:ind w:left="720"/>
        <w:rPr>
          <w:sz w:val="32"/>
          <w:szCs w:val="32"/>
        </w:rPr>
      </w:pPr>
    </w:p>
    <w:p w:rsidR="00232C74" w:rsidRDefault="00232C74" w:rsidP="00232C74">
      <w:pPr>
        <w:rPr>
          <w:sz w:val="32"/>
          <w:szCs w:val="32"/>
        </w:rPr>
      </w:pPr>
    </w:p>
    <w:p w:rsidR="00232C74" w:rsidRPr="00232C74" w:rsidRDefault="00232C74" w:rsidP="00232C74">
      <w:pPr>
        <w:rPr>
          <w:sz w:val="32"/>
          <w:szCs w:val="32"/>
        </w:rPr>
      </w:pPr>
      <w:r w:rsidRPr="00232C74">
        <w:rPr>
          <w:sz w:val="32"/>
          <w:szCs w:val="32"/>
        </w:rPr>
        <w:t>II.2 The curriculum is concerned with recordable information and knowledge, and the</w:t>
      </w:r>
      <w:r>
        <w:rPr>
          <w:sz w:val="32"/>
          <w:szCs w:val="32"/>
        </w:rPr>
        <w:t xml:space="preserve"> </w:t>
      </w:r>
      <w:r w:rsidRPr="00232C74">
        <w:rPr>
          <w:sz w:val="32"/>
          <w:szCs w:val="32"/>
        </w:rPr>
        <w:t>services and technologies to facilitate their management and use. The curriculum of</w:t>
      </w:r>
      <w:r w:rsidR="009D0E7F">
        <w:rPr>
          <w:sz w:val="32"/>
          <w:szCs w:val="32"/>
        </w:rPr>
        <w:t xml:space="preserve"> </w:t>
      </w:r>
      <w:r w:rsidRPr="00232C74">
        <w:rPr>
          <w:sz w:val="32"/>
          <w:szCs w:val="32"/>
        </w:rPr>
        <w:t>library and information studies encompasses information and knowledge creation,</w:t>
      </w:r>
      <w:r w:rsidR="009D0E7F">
        <w:rPr>
          <w:sz w:val="32"/>
          <w:szCs w:val="32"/>
        </w:rPr>
        <w:t xml:space="preserve"> co</w:t>
      </w:r>
      <w:r w:rsidR="001258A8">
        <w:rPr>
          <w:sz w:val="32"/>
          <w:szCs w:val="32"/>
        </w:rPr>
        <w:t>m</w:t>
      </w:r>
      <w:r w:rsidR="009D0E7F">
        <w:rPr>
          <w:sz w:val="32"/>
          <w:szCs w:val="32"/>
        </w:rPr>
        <w:t>m</w:t>
      </w:r>
      <w:r w:rsidRPr="00232C74">
        <w:rPr>
          <w:sz w:val="32"/>
          <w:szCs w:val="32"/>
        </w:rPr>
        <w:t>unication, identification, selection, acquisition, organization and description,</w:t>
      </w:r>
      <w:r>
        <w:rPr>
          <w:sz w:val="32"/>
          <w:szCs w:val="32"/>
        </w:rPr>
        <w:t xml:space="preserve"> </w:t>
      </w:r>
      <w:r w:rsidRPr="00232C74">
        <w:rPr>
          <w:sz w:val="32"/>
          <w:szCs w:val="32"/>
        </w:rPr>
        <w:t>storage and retrieval, preservation, analysis, interpretation, evaluation, synthesis,</w:t>
      </w:r>
    </w:p>
    <w:p w:rsidR="00232C74" w:rsidRPr="00232C74" w:rsidRDefault="00232C74" w:rsidP="00232C74">
      <w:pPr>
        <w:rPr>
          <w:sz w:val="32"/>
          <w:szCs w:val="32"/>
        </w:rPr>
      </w:pPr>
      <w:r w:rsidRPr="00232C74">
        <w:rPr>
          <w:sz w:val="32"/>
          <w:szCs w:val="32"/>
        </w:rPr>
        <w:t>dissemination, and management.</w:t>
      </w:r>
    </w:p>
    <w:p w:rsidR="00232C74" w:rsidRDefault="00232C74" w:rsidP="00232C74">
      <w:pPr>
        <w:rPr>
          <w:sz w:val="32"/>
          <w:szCs w:val="32"/>
        </w:rPr>
      </w:pPr>
    </w:p>
    <w:p w:rsidR="00232C74" w:rsidRDefault="00232C74" w:rsidP="00232C74">
      <w:pPr>
        <w:rPr>
          <w:sz w:val="32"/>
          <w:szCs w:val="32"/>
          <w:u w:val="single"/>
        </w:rPr>
      </w:pPr>
      <w:r w:rsidRPr="00232C74">
        <w:rPr>
          <w:sz w:val="32"/>
          <w:szCs w:val="32"/>
          <w:u w:val="single"/>
        </w:rPr>
        <w:t>Sources of evidence:</w:t>
      </w:r>
    </w:p>
    <w:p w:rsidR="001D1486" w:rsidRDefault="001D1486" w:rsidP="005F2FE3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242424"/>
          <w:sz w:val="32"/>
          <w:szCs w:val="32"/>
        </w:rPr>
      </w:pPr>
      <w:r>
        <w:rPr>
          <w:rFonts w:ascii="Times New Roman" w:hAnsi="Times New Roman" w:cs="Times New Roman"/>
          <w:color w:val="242424"/>
          <w:sz w:val="32"/>
          <w:szCs w:val="32"/>
        </w:rPr>
        <w:t>List of courses with descriptions</w:t>
      </w:r>
    </w:p>
    <w:p w:rsidR="001D1486" w:rsidRDefault="001D1486" w:rsidP="001D1486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242424"/>
          <w:sz w:val="32"/>
          <w:szCs w:val="32"/>
        </w:rPr>
      </w:pPr>
    </w:p>
    <w:p w:rsidR="005F2FE3" w:rsidRPr="005F2FE3" w:rsidRDefault="005F2FE3" w:rsidP="005F2FE3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242424"/>
          <w:sz w:val="32"/>
          <w:szCs w:val="32"/>
        </w:rPr>
      </w:pPr>
      <w:r w:rsidRPr="005F2FE3">
        <w:rPr>
          <w:rFonts w:ascii="Times New Roman" w:hAnsi="Times New Roman" w:cs="Times New Roman"/>
          <w:color w:val="242424"/>
          <w:sz w:val="32"/>
          <w:szCs w:val="32"/>
        </w:rPr>
        <w:t>Representative samples of student work, including papers, presentations, projects, portfolios, and capstone results</w:t>
      </w:r>
    </w:p>
    <w:p w:rsidR="005F2FE3" w:rsidRDefault="005F2FE3" w:rsidP="005F2FE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Helvetica Neue"/>
          <w:color w:val="242424"/>
          <w:sz w:val="26"/>
          <w:szCs w:val="26"/>
        </w:rPr>
      </w:pPr>
    </w:p>
    <w:p w:rsidR="005F2FE3" w:rsidRDefault="005F2FE3" w:rsidP="00232C74">
      <w:pPr>
        <w:rPr>
          <w:sz w:val="32"/>
          <w:szCs w:val="32"/>
          <w:u w:val="single"/>
        </w:rPr>
      </w:pPr>
    </w:p>
    <w:p w:rsidR="005F2FE3" w:rsidRDefault="005F2FE3" w:rsidP="00232C74">
      <w:pPr>
        <w:rPr>
          <w:sz w:val="32"/>
          <w:szCs w:val="32"/>
          <w:u w:val="single"/>
        </w:rPr>
      </w:pPr>
    </w:p>
    <w:p w:rsidR="00AF29D0" w:rsidRPr="00232C74" w:rsidRDefault="00AF29D0" w:rsidP="00232C74">
      <w:pPr>
        <w:rPr>
          <w:sz w:val="32"/>
          <w:szCs w:val="32"/>
          <w:u w:val="single"/>
        </w:rPr>
      </w:pPr>
    </w:p>
    <w:p w:rsidR="00232C74" w:rsidRDefault="00232C74" w:rsidP="00232C74">
      <w:pPr>
        <w:rPr>
          <w:sz w:val="32"/>
          <w:szCs w:val="32"/>
        </w:rPr>
      </w:pPr>
    </w:p>
    <w:p w:rsidR="00232C74" w:rsidRPr="00232C74" w:rsidRDefault="00232C74" w:rsidP="00232C74">
      <w:pPr>
        <w:rPr>
          <w:sz w:val="32"/>
          <w:szCs w:val="32"/>
        </w:rPr>
      </w:pPr>
      <w:r w:rsidRPr="00232C74">
        <w:rPr>
          <w:sz w:val="32"/>
          <w:szCs w:val="32"/>
        </w:rPr>
        <w:t>II.3 The curriculum</w:t>
      </w:r>
    </w:p>
    <w:p w:rsidR="00232C74" w:rsidRDefault="00232C74" w:rsidP="00232C74">
      <w:pPr>
        <w:ind w:left="360"/>
        <w:rPr>
          <w:sz w:val="32"/>
          <w:szCs w:val="32"/>
        </w:rPr>
      </w:pPr>
      <w:r w:rsidRPr="00232C74">
        <w:rPr>
          <w:sz w:val="32"/>
          <w:szCs w:val="32"/>
        </w:rPr>
        <w:t>II.3.1 fosters development of library and information professionals who will assume</w:t>
      </w:r>
      <w:r>
        <w:rPr>
          <w:sz w:val="32"/>
          <w:szCs w:val="32"/>
        </w:rPr>
        <w:t xml:space="preserve"> </w:t>
      </w:r>
      <w:r w:rsidRPr="00232C74">
        <w:rPr>
          <w:sz w:val="32"/>
          <w:szCs w:val="32"/>
        </w:rPr>
        <w:t>an assertive role in providing services;</w:t>
      </w:r>
    </w:p>
    <w:p w:rsidR="00232C74" w:rsidRDefault="00232C74" w:rsidP="00232C74">
      <w:pPr>
        <w:ind w:left="360"/>
        <w:rPr>
          <w:sz w:val="32"/>
          <w:szCs w:val="32"/>
        </w:rPr>
      </w:pPr>
    </w:p>
    <w:p w:rsidR="00232C74" w:rsidRDefault="00232C74" w:rsidP="00232C74">
      <w:pPr>
        <w:ind w:left="360"/>
        <w:rPr>
          <w:sz w:val="32"/>
          <w:szCs w:val="32"/>
          <w:u w:val="single"/>
        </w:rPr>
      </w:pPr>
      <w:r w:rsidRPr="00232C74">
        <w:rPr>
          <w:sz w:val="32"/>
          <w:szCs w:val="32"/>
          <w:u w:val="single"/>
        </w:rPr>
        <w:t>Sources of evidence:</w:t>
      </w:r>
    </w:p>
    <w:p w:rsidR="005F2FE3" w:rsidRPr="005F2FE3" w:rsidRDefault="005F2FE3" w:rsidP="005F2FE3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242424"/>
          <w:sz w:val="32"/>
          <w:szCs w:val="32"/>
        </w:rPr>
      </w:pPr>
      <w:r w:rsidRPr="005F2FE3">
        <w:rPr>
          <w:rFonts w:ascii="Times New Roman" w:hAnsi="Times New Roman" w:cs="Times New Roman"/>
          <w:color w:val="242424"/>
          <w:sz w:val="32"/>
          <w:szCs w:val="32"/>
        </w:rPr>
        <w:t>Results of student follow-up surveys regarding the effectiveness of the educational experiences</w:t>
      </w:r>
    </w:p>
    <w:p w:rsidR="005F2FE3" w:rsidRDefault="005F2FE3" w:rsidP="005F2FE3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242424"/>
          <w:sz w:val="32"/>
          <w:szCs w:val="32"/>
        </w:rPr>
      </w:pPr>
      <w:r w:rsidRPr="005F2FE3">
        <w:rPr>
          <w:rFonts w:ascii="Times New Roman" w:hAnsi="Times New Roman" w:cs="Times New Roman"/>
          <w:color w:val="242424"/>
          <w:sz w:val="32"/>
          <w:szCs w:val="32"/>
        </w:rPr>
        <w:t>Evidence of the rate and types of employment of program graduates</w:t>
      </w:r>
    </w:p>
    <w:p w:rsidR="005F2FE3" w:rsidRDefault="005F2FE3" w:rsidP="005F2FE3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242424"/>
          <w:sz w:val="32"/>
          <w:szCs w:val="32"/>
        </w:rPr>
      </w:pPr>
      <w:r w:rsidRPr="005F2FE3">
        <w:rPr>
          <w:rFonts w:ascii="Times New Roman" w:hAnsi="Times New Roman" w:cs="Times New Roman"/>
          <w:color w:val="242424"/>
          <w:sz w:val="32"/>
          <w:szCs w:val="32"/>
        </w:rPr>
        <w:t>Student and/or employer assessment of internship or practicum experiences</w:t>
      </w:r>
    </w:p>
    <w:p w:rsidR="00D940AB" w:rsidRPr="00D940AB" w:rsidRDefault="00D940AB" w:rsidP="00D940AB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242424"/>
          <w:sz w:val="32"/>
          <w:szCs w:val="32"/>
        </w:rPr>
      </w:pPr>
      <w:r w:rsidRPr="00D940AB">
        <w:rPr>
          <w:rFonts w:ascii="Times New Roman" w:hAnsi="Times New Roman" w:cs="Times New Roman"/>
          <w:color w:val="242424"/>
          <w:sz w:val="32"/>
          <w:szCs w:val="32"/>
        </w:rPr>
        <w:t>Table of courses and educational opportunities mapped to relevant elements in Standard II</w:t>
      </w:r>
    </w:p>
    <w:p w:rsidR="005F2FE3" w:rsidRPr="005F2FE3" w:rsidRDefault="005F2FE3" w:rsidP="005F2FE3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080"/>
        <w:rPr>
          <w:rFonts w:ascii="Times New Roman" w:hAnsi="Times New Roman" w:cs="Times New Roman"/>
          <w:color w:val="242424"/>
          <w:sz w:val="32"/>
          <w:szCs w:val="32"/>
        </w:rPr>
      </w:pPr>
    </w:p>
    <w:p w:rsidR="005F2FE3" w:rsidRPr="005F2FE3" w:rsidRDefault="005F2FE3" w:rsidP="005F2FE3">
      <w:pPr>
        <w:ind w:left="1080"/>
        <w:rPr>
          <w:rFonts w:ascii="Times New Roman" w:hAnsi="Times New Roman" w:cs="Times New Roman"/>
          <w:sz w:val="32"/>
          <w:szCs w:val="32"/>
          <w:u w:val="single"/>
        </w:rPr>
      </w:pPr>
    </w:p>
    <w:p w:rsidR="00232C74" w:rsidRDefault="00232C74" w:rsidP="00232C74">
      <w:pPr>
        <w:rPr>
          <w:sz w:val="32"/>
          <w:szCs w:val="32"/>
        </w:rPr>
      </w:pPr>
    </w:p>
    <w:p w:rsidR="00232C74" w:rsidRDefault="00232C74" w:rsidP="00232C74">
      <w:pPr>
        <w:rPr>
          <w:sz w:val="32"/>
          <w:szCs w:val="32"/>
        </w:rPr>
      </w:pPr>
    </w:p>
    <w:p w:rsidR="00232C74" w:rsidRDefault="00232C74" w:rsidP="00232C74">
      <w:pPr>
        <w:ind w:left="360"/>
        <w:rPr>
          <w:sz w:val="32"/>
          <w:szCs w:val="32"/>
        </w:rPr>
      </w:pPr>
      <w:r w:rsidRPr="00232C74">
        <w:rPr>
          <w:sz w:val="32"/>
          <w:szCs w:val="32"/>
        </w:rPr>
        <w:t>II.3.2 emphasizes an evolving body of knowledge that reflects the findings of basic</w:t>
      </w:r>
      <w:r>
        <w:rPr>
          <w:sz w:val="32"/>
          <w:szCs w:val="32"/>
        </w:rPr>
        <w:t xml:space="preserve"> </w:t>
      </w:r>
      <w:r w:rsidRPr="00232C74">
        <w:rPr>
          <w:sz w:val="32"/>
          <w:szCs w:val="32"/>
        </w:rPr>
        <w:t>and applied research from relevant fields;</w:t>
      </w:r>
    </w:p>
    <w:p w:rsidR="00232C74" w:rsidRDefault="00232C74" w:rsidP="00232C74">
      <w:pPr>
        <w:ind w:left="360"/>
        <w:rPr>
          <w:sz w:val="32"/>
          <w:szCs w:val="32"/>
        </w:rPr>
      </w:pPr>
    </w:p>
    <w:p w:rsidR="00232C74" w:rsidRDefault="00232C74" w:rsidP="00232C74">
      <w:pPr>
        <w:ind w:left="360"/>
        <w:rPr>
          <w:sz w:val="32"/>
          <w:szCs w:val="32"/>
          <w:u w:val="single"/>
        </w:rPr>
      </w:pPr>
      <w:r w:rsidRPr="00232C74">
        <w:rPr>
          <w:sz w:val="32"/>
          <w:szCs w:val="32"/>
          <w:u w:val="single"/>
        </w:rPr>
        <w:t>Sources of evidence:</w:t>
      </w:r>
    </w:p>
    <w:p w:rsidR="005F2FE3" w:rsidRDefault="005F2FE3" w:rsidP="005F2FE3">
      <w:pPr>
        <w:ind w:left="900"/>
        <w:rPr>
          <w:sz w:val="32"/>
          <w:szCs w:val="32"/>
        </w:rPr>
      </w:pPr>
      <w:r w:rsidRPr="005F2FE3">
        <w:rPr>
          <w:sz w:val="32"/>
          <w:szCs w:val="32"/>
        </w:rPr>
        <w:t>Syllabi for all active courses</w:t>
      </w:r>
    </w:p>
    <w:p w:rsidR="00D940AB" w:rsidRPr="005F2FE3" w:rsidRDefault="00D940AB" w:rsidP="005F2FE3">
      <w:pPr>
        <w:ind w:left="900"/>
        <w:rPr>
          <w:sz w:val="32"/>
          <w:szCs w:val="32"/>
        </w:rPr>
      </w:pPr>
      <w:r>
        <w:rPr>
          <w:sz w:val="32"/>
          <w:szCs w:val="32"/>
        </w:rPr>
        <w:t>Required readings for courses? (List/table/date/field?)</w:t>
      </w:r>
    </w:p>
    <w:p w:rsidR="00232C74" w:rsidRPr="00232C74" w:rsidRDefault="00232C74" w:rsidP="00232C74">
      <w:pPr>
        <w:ind w:left="360"/>
        <w:rPr>
          <w:sz w:val="32"/>
          <w:szCs w:val="32"/>
        </w:rPr>
      </w:pPr>
    </w:p>
    <w:p w:rsidR="00232C74" w:rsidRDefault="00232C74" w:rsidP="00232C74">
      <w:pPr>
        <w:ind w:left="360"/>
        <w:rPr>
          <w:sz w:val="32"/>
          <w:szCs w:val="32"/>
        </w:rPr>
      </w:pPr>
    </w:p>
    <w:p w:rsidR="00232C74" w:rsidRDefault="00232C74" w:rsidP="00232C74">
      <w:pPr>
        <w:rPr>
          <w:sz w:val="32"/>
          <w:szCs w:val="32"/>
        </w:rPr>
      </w:pPr>
    </w:p>
    <w:p w:rsidR="00232C74" w:rsidRDefault="00232C74" w:rsidP="00232C74">
      <w:pPr>
        <w:ind w:left="450"/>
        <w:rPr>
          <w:sz w:val="32"/>
          <w:szCs w:val="32"/>
        </w:rPr>
      </w:pPr>
      <w:r w:rsidRPr="00232C74">
        <w:rPr>
          <w:sz w:val="32"/>
          <w:szCs w:val="32"/>
        </w:rPr>
        <w:t>II.3.3 integrates the theory, application, and use of technology;</w:t>
      </w:r>
    </w:p>
    <w:p w:rsidR="00232C74" w:rsidRDefault="00232C74" w:rsidP="00232C74">
      <w:pPr>
        <w:ind w:left="450"/>
        <w:rPr>
          <w:sz w:val="32"/>
          <w:szCs w:val="32"/>
        </w:rPr>
      </w:pPr>
    </w:p>
    <w:p w:rsidR="00232C74" w:rsidRDefault="00232C74" w:rsidP="00232C74">
      <w:pPr>
        <w:ind w:left="360"/>
        <w:rPr>
          <w:sz w:val="32"/>
          <w:szCs w:val="32"/>
          <w:u w:val="single"/>
        </w:rPr>
      </w:pPr>
      <w:r w:rsidRPr="00232C74">
        <w:rPr>
          <w:sz w:val="32"/>
          <w:szCs w:val="32"/>
          <w:u w:val="single"/>
        </w:rPr>
        <w:t>Sources of evidence:</w:t>
      </w:r>
    </w:p>
    <w:p w:rsidR="005F2FE3" w:rsidRDefault="005F2FE3" w:rsidP="005F2FE3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242424"/>
          <w:sz w:val="32"/>
          <w:szCs w:val="32"/>
        </w:rPr>
      </w:pPr>
      <w:r w:rsidRPr="005F2FE3">
        <w:rPr>
          <w:rFonts w:ascii="Times New Roman" w:hAnsi="Times New Roman" w:cs="Times New Roman"/>
          <w:color w:val="242424"/>
          <w:sz w:val="32"/>
          <w:szCs w:val="32"/>
        </w:rPr>
        <w:t>Representative samples of student work, including papers, presentations, projects, portfolios, and capstone results</w:t>
      </w:r>
    </w:p>
    <w:p w:rsidR="001D1486" w:rsidRDefault="001D1486" w:rsidP="001D1486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710"/>
        <w:rPr>
          <w:rFonts w:ascii="Times New Roman" w:hAnsi="Times New Roman" w:cs="Times New Roman"/>
          <w:color w:val="242424"/>
          <w:sz w:val="32"/>
          <w:szCs w:val="32"/>
        </w:rPr>
      </w:pPr>
    </w:p>
    <w:p w:rsidR="00D940AB" w:rsidRPr="005F2FE3" w:rsidRDefault="00D940AB" w:rsidP="005F2FE3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242424"/>
          <w:sz w:val="32"/>
          <w:szCs w:val="32"/>
        </w:rPr>
      </w:pPr>
      <w:r>
        <w:rPr>
          <w:rFonts w:ascii="Times New Roman" w:hAnsi="Times New Roman" w:cs="Times New Roman"/>
          <w:color w:val="242424"/>
          <w:sz w:val="32"/>
          <w:szCs w:val="32"/>
        </w:rPr>
        <w:t>Matrix of courses indicating use of/emphasis on technology</w:t>
      </w:r>
    </w:p>
    <w:p w:rsidR="005F2FE3" w:rsidRPr="00232C74" w:rsidRDefault="005F2FE3" w:rsidP="00232C74">
      <w:pPr>
        <w:ind w:left="360"/>
        <w:rPr>
          <w:sz w:val="32"/>
          <w:szCs w:val="32"/>
          <w:u w:val="single"/>
        </w:rPr>
      </w:pPr>
    </w:p>
    <w:p w:rsidR="00232C74" w:rsidRDefault="00232C74" w:rsidP="00232C74">
      <w:pPr>
        <w:ind w:left="450"/>
        <w:rPr>
          <w:sz w:val="32"/>
          <w:szCs w:val="32"/>
        </w:rPr>
      </w:pPr>
    </w:p>
    <w:p w:rsidR="00232C74" w:rsidRDefault="00232C74" w:rsidP="00232C74">
      <w:pPr>
        <w:ind w:left="450"/>
        <w:rPr>
          <w:sz w:val="32"/>
          <w:szCs w:val="32"/>
        </w:rPr>
      </w:pPr>
    </w:p>
    <w:p w:rsidR="00232C74" w:rsidRPr="00232C74" w:rsidRDefault="00232C74" w:rsidP="00232C74">
      <w:pPr>
        <w:ind w:left="450"/>
        <w:rPr>
          <w:sz w:val="32"/>
          <w:szCs w:val="32"/>
        </w:rPr>
      </w:pPr>
    </w:p>
    <w:p w:rsidR="00232C74" w:rsidRDefault="00232C74" w:rsidP="00232C74">
      <w:pPr>
        <w:ind w:left="360"/>
        <w:rPr>
          <w:sz w:val="32"/>
          <w:szCs w:val="32"/>
        </w:rPr>
      </w:pPr>
      <w:r w:rsidRPr="00232C74">
        <w:rPr>
          <w:sz w:val="32"/>
          <w:szCs w:val="32"/>
        </w:rPr>
        <w:t>II.3.4 responds to the needs of a diverse society including the needs of underserved</w:t>
      </w:r>
      <w:r>
        <w:rPr>
          <w:sz w:val="32"/>
          <w:szCs w:val="32"/>
        </w:rPr>
        <w:t xml:space="preserve"> </w:t>
      </w:r>
      <w:r w:rsidRPr="00232C74">
        <w:rPr>
          <w:sz w:val="32"/>
          <w:szCs w:val="32"/>
        </w:rPr>
        <w:t>groups;</w:t>
      </w:r>
    </w:p>
    <w:p w:rsidR="00232C74" w:rsidRDefault="00232C74" w:rsidP="00232C74">
      <w:pPr>
        <w:ind w:left="360"/>
        <w:rPr>
          <w:sz w:val="32"/>
          <w:szCs w:val="32"/>
        </w:rPr>
      </w:pPr>
    </w:p>
    <w:p w:rsidR="00232C74" w:rsidRDefault="00232C74" w:rsidP="00232C74">
      <w:pPr>
        <w:ind w:left="360"/>
        <w:rPr>
          <w:sz w:val="32"/>
          <w:szCs w:val="32"/>
          <w:u w:val="single"/>
        </w:rPr>
      </w:pPr>
      <w:r w:rsidRPr="00232C74">
        <w:rPr>
          <w:sz w:val="32"/>
          <w:szCs w:val="32"/>
          <w:u w:val="single"/>
        </w:rPr>
        <w:t>Sources of evidence:</w:t>
      </w:r>
    </w:p>
    <w:p w:rsidR="00D940AB" w:rsidRPr="00D940AB" w:rsidRDefault="00D940AB" w:rsidP="00D940AB">
      <w:pPr>
        <w:ind w:left="720"/>
        <w:rPr>
          <w:sz w:val="32"/>
          <w:szCs w:val="32"/>
        </w:rPr>
      </w:pPr>
      <w:r w:rsidRPr="00D940AB">
        <w:rPr>
          <w:sz w:val="32"/>
          <w:szCs w:val="32"/>
        </w:rPr>
        <w:t>?</w:t>
      </w:r>
    </w:p>
    <w:p w:rsidR="00232C74" w:rsidRDefault="00232C74" w:rsidP="00232C74">
      <w:pPr>
        <w:ind w:left="360"/>
        <w:rPr>
          <w:sz w:val="32"/>
          <w:szCs w:val="32"/>
        </w:rPr>
      </w:pPr>
    </w:p>
    <w:p w:rsidR="00232C74" w:rsidRDefault="00232C74" w:rsidP="00232C74">
      <w:pPr>
        <w:ind w:left="360"/>
        <w:rPr>
          <w:sz w:val="32"/>
          <w:szCs w:val="32"/>
        </w:rPr>
      </w:pPr>
    </w:p>
    <w:p w:rsidR="00232C74" w:rsidRPr="00232C74" w:rsidRDefault="00232C74" w:rsidP="00232C74">
      <w:pPr>
        <w:ind w:left="360"/>
        <w:rPr>
          <w:sz w:val="32"/>
          <w:szCs w:val="32"/>
        </w:rPr>
      </w:pPr>
    </w:p>
    <w:p w:rsidR="00232C74" w:rsidRDefault="00232C74" w:rsidP="00232C74">
      <w:pPr>
        <w:ind w:left="360"/>
        <w:rPr>
          <w:sz w:val="32"/>
          <w:szCs w:val="32"/>
        </w:rPr>
      </w:pPr>
      <w:r w:rsidRPr="00232C74">
        <w:rPr>
          <w:sz w:val="32"/>
          <w:szCs w:val="32"/>
        </w:rPr>
        <w:t>II.3.5 responds to the needs of a rapidly changing technological and global society;</w:t>
      </w:r>
    </w:p>
    <w:p w:rsidR="00232C74" w:rsidRDefault="00232C74" w:rsidP="00232C74">
      <w:pPr>
        <w:ind w:left="360"/>
        <w:rPr>
          <w:sz w:val="32"/>
          <w:szCs w:val="32"/>
        </w:rPr>
      </w:pPr>
    </w:p>
    <w:p w:rsidR="00232C74" w:rsidRDefault="00232C74" w:rsidP="00232C74">
      <w:pPr>
        <w:ind w:left="360"/>
        <w:rPr>
          <w:sz w:val="32"/>
          <w:szCs w:val="32"/>
          <w:u w:val="single"/>
        </w:rPr>
      </w:pPr>
      <w:r w:rsidRPr="00232C74">
        <w:rPr>
          <w:sz w:val="32"/>
          <w:szCs w:val="32"/>
          <w:u w:val="single"/>
        </w:rPr>
        <w:t>Sources of evidence:</w:t>
      </w:r>
    </w:p>
    <w:p w:rsidR="001D1486" w:rsidRPr="001D1486" w:rsidRDefault="001D1486" w:rsidP="001D1486">
      <w:pPr>
        <w:ind w:left="720"/>
        <w:rPr>
          <w:sz w:val="32"/>
          <w:szCs w:val="32"/>
        </w:rPr>
      </w:pPr>
      <w:r w:rsidRPr="001D1486">
        <w:rPr>
          <w:sz w:val="32"/>
          <w:szCs w:val="32"/>
        </w:rPr>
        <w:t>?</w:t>
      </w:r>
    </w:p>
    <w:p w:rsidR="00232C74" w:rsidRDefault="00232C74" w:rsidP="00232C74">
      <w:pPr>
        <w:ind w:left="360"/>
        <w:rPr>
          <w:sz w:val="32"/>
          <w:szCs w:val="32"/>
        </w:rPr>
      </w:pPr>
    </w:p>
    <w:p w:rsidR="00232C74" w:rsidRPr="00232C74" w:rsidRDefault="00232C74" w:rsidP="00232C74">
      <w:pPr>
        <w:ind w:left="360"/>
        <w:rPr>
          <w:sz w:val="32"/>
          <w:szCs w:val="32"/>
        </w:rPr>
      </w:pPr>
    </w:p>
    <w:p w:rsidR="00232C74" w:rsidRDefault="00232C74" w:rsidP="00232C74">
      <w:pPr>
        <w:ind w:left="360"/>
        <w:rPr>
          <w:sz w:val="32"/>
          <w:szCs w:val="32"/>
        </w:rPr>
      </w:pPr>
      <w:r w:rsidRPr="00232C74">
        <w:rPr>
          <w:sz w:val="32"/>
          <w:szCs w:val="32"/>
        </w:rPr>
        <w:t>II.3.6 provides direction for future development of the field;</w:t>
      </w:r>
    </w:p>
    <w:p w:rsidR="00232C74" w:rsidRDefault="00232C74" w:rsidP="00232C74">
      <w:pPr>
        <w:ind w:left="360"/>
        <w:rPr>
          <w:sz w:val="32"/>
          <w:szCs w:val="32"/>
        </w:rPr>
      </w:pPr>
    </w:p>
    <w:p w:rsidR="00232C74" w:rsidRDefault="00232C74" w:rsidP="00232C74">
      <w:pPr>
        <w:ind w:left="360"/>
        <w:rPr>
          <w:sz w:val="32"/>
          <w:szCs w:val="32"/>
          <w:u w:val="single"/>
        </w:rPr>
      </w:pPr>
      <w:r w:rsidRPr="00232C74">
        <w:rPr>
          <w:sz w:val="32"/>
          <w:szCs w:val="32"/>
          <w:u w:val="single"/>
        </w:rPr>
        <w:t>Sources of evidence:</w:t>
      </w:r>
    </w:p>
    <w:p w:rsidR="00232C74" w:rsidRDefault="00D940AB" w:rsidP="00D940AB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D940AB">
        <w:rPr>
          <w:sz w:val="32"/>
          <w:szCs w:val="32"/>
        </w:rPr>
        <w:t>List of variable topics courses introduced since last COA visit</w:t>
      </w:r>
    </w:p>
    <w:p w:rsidR="001D1486" w:rsidRDefault="001D1486" w:rsidP="001D1486">
      <w:pPr>
        <w:pStyle w:val="ListParagraph"/>
        <w:ind w:left="1890"/>
        <w:rPr>
          <w:sz w:val="32"/>
          <w:szCs w:val="32"/>
        </w:rPr>
      </w:pPr>
    </w:p>
    <w:p w:rsidR="00D940AB" w:rsidRDefault="00D940AB" w:rsidP="00D940AB">
      <w:pPr>
        <w:pStyle w:val="ListParagraph"/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List of courses that have been revised and retitled since last COA visit.</w:t>
      </w:r>
    </w:p>
    <w:p w:rsidR="001D1486" w:rsidRPr="001D1486" w:rsidRDefault="001D1486" w:rsidP="001D1486">
      <w:pPr>
        <w:rPr>
          <w:sz w:val="32"/>
          <w:szCs w:val="32"/>
        </w:rPr>
      </w:pPr>
    </w:p>
    <w:p w:rsidR="001D1486" w:rsidRDefault="001D1486" w:rsidP="00D940AB">
      <w:pPr>
        <w:pStyle w:val="ListParagraph"/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New courses offered since last visit.</w:t>
      </w:r>
    </w:p>
    <w:p w:rsidR="00D940AB" w:rsidRDefault="00D940AB" w:rsidP="00D940AB">
      <w:pPr>
        <w:rPr>
          <w:sz w:val="32"/>
          <w:szCs w:val="32"/>
        </w:rPr>
      </w:pPr>
    </w:p>
    <w:p w:rsidR="00D940AB" w:rsidRPr="00D940AB" w:rsidRDefault="00D940AB" w:rsidP="00D940AB">
      <w:pPr>
        <w:rPr>
          <w:sz w:val="32"/>
          <w:szCs w:val="32"/>
        </w:rPr>
      </w:pPr>
    </w:p>
    <w:p w:rsidR="00232C74" w:rsidRDefault="00232C74" w:rsidP="00232C74">
      <w:pPr>
        <w:ind w:left="360"/>
        <w:rPr>
          <w:sz w:val="32"/>
          <w:szCs w:val="32"/>
        </w:rPr>
      </w:pPr>
    </w:p>
    <w:p w:rsidR="00232C74" w:rsidRPr="00232C74" w:rsidRDefault="00232C74" w:rsidP="00232C74">
      <w:pPr>
        <w:ind w:left="360"/>
        <w:rPr>
          <w:sz w:val="32"/>
          <w:szCs w:val="32"/>
        </w:rPr>
      </w:pPr>
    </w:p>
    <w:p w:rsidR="00232C74" w:rsidRDefault="00232C74" w:rsidP="00232C74">
      <w:pPr>
        <w:ind w:left="360"/>
        <w:rPr>
          <w:sz w:val="32"/>
          <w:szCs w:val="32"/>
        </w:rPr>
      </w:pPr>
      <w:r w:rsidRPr="00232C74">
        <w:rPr>
          <w:sz w:val="32"/>
          <w:szCs w:val="32"/>
        </w:rPr>
        <w:t>II.3.7 promotes commitment to continuous professional growth.</w:t>
      </w:r>
    </w:p>
    <w:p w:rsidR="00232C74" w:rsidRDefault="00232C74" w:rsidP="00232C74">
      <w:pPr>
        <w:ind w:left="360"/>
        <w:rPr>
          <w:sz w:val="32"/>
          <w:szCs w:val="32"/>
        </w:rPr>
      </w:pPr>
    </w:p>
    <w:p w:rsidR="00232C74" w:rsidRDefault="00232C74" w:rsidP="00232C74">
      <w:pPr>
        <w:ind w:left="360"/>
        <w:rPr>
          <w:sz w:val="32"/>
          <w:szCs w:val="32"/>
          <w:u w:val="single"/>
        </w:rPr>
      </w:pPr>
      <w:r w:rsidRPr="00232C74">
        <w:rPr>
          <w:sz w:val="32"/>
          <w:szCs w:val="32"/>
          <w:u w:val="single"/>
        </w:rPr>
        <w:t>Sources of evidence:</w:t>
      </w:r>
    </w:p>
    <w:p w:rsidR="00D940AB" w:rsidRDefault="00D940AB" w:rsidP="00D940AB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242424"/>
          <w:sz w:val="32"/>
          <w:szCs w:val="32"/>
        </w:rPr>
      </w:pPr>
      <w:r w:rsidRPr="00D940AB">
        <w:rPr>
          <w:rFonts w:ascii="Times New Roman" w:hAnsi="Times New Roman" w:cs="Times New Roman"/>
          <w:color w:val="242424"/>
          <w:sz w:val="32"/>
          <w:szCs w:val="32"/>
        </w:rPr>
        <w:t>Results of student follow-up surveys regarding the effectiveness of the educational experiences</w:t>
      </w:r>
    </w:p>
    <w:p w:rsidR="00D940AB" w:rsidRPr="00D940AB" w:rsidRDefault="00D940AB" w:rsidP="00D940AB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530"/>
        <w:rPr>
          <w:rFonts w:ascii="Times New Roman" w:hAnsi="Times New Roman" w:cs="Times New Roman"/>
          <w:color w:val="242424"/>
          <w:sz w:val="32"/>
          <w:szCs w:val="32"/>
        </w:rPr>
      </w:pPr>
    </w:p>
    <w:p w:rsidR="00D940AB" w:rsidRDefault="00D940AB" w:rsidP="00D940AB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242424"/>
          <w:sz w:val="32"/>
          <w:szCs w:val="32"/>
        </w:rPr>
      </w:pPr>
      <w:r w:rsidRPr="00D940AB">
        <w:rPr>
          <w:rFonts w:ascii="Times New Roman" w:hAnsi="Times New Roman" w:cs="Times New Roman"/>
          <w:color w:val="242424"/>
          <w:sz w:val="32"/>
          <w:szCs w:val="32"/>
        </w:rPr>
        <w:t>Evidence of the rate and types of employment of program graduates</w:t>
      </w:r>
    </w:p>
    <w:p w:rsidR="001D1486" w:rsidRPr="001D1486" w:rsidRDefault="001D1486" w:rsidP="001D148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242424"/>
          <w:sz w:val="32"/>
          <w:szCs w:val="32"/>
        </w:rPr>
      </w:pPr>
    </w:p>
    <w:p w:rsidR="00D940AB" w:rsidRPr="001D1486" w:rsidRDefault="00D940AB" w:rsidP="001D1486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242424"/>
          <w:sz w:val="32"/>
          <w:szCs w:val="32"/>
        </w:rPr>
      </w:pPr>
      <w:r w:rsidRPr="001D1486">
        <w:rPr>
          <w:sz w:val="32"/>
          <w:szCs w:val="32"/>
        </w:rPr>
        <w:t>Student and graduate accomplishments list/table?</w:t>
      </w:r>
    </w:p>
    <w:p w:rsidR="00D940AB" w:rsidRDefault="00D940AB" w:rsidP="00D940AB">
      <w:pPr>
        <w:pStyle w:val="ListParagraph"/>
        <w:ind w:left="1530"/>
        <w:rPr>
          <w:sz w:val="32"/>
          <w:szCs w:val="32"/>
        </w:rPr>
      </w:pPr>
    </w:p>
    <w:p w:rsidR="00D940AB" w:rsidRDefault="00D940AB" w:rsidP="00D940AB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Curriculum space/special guest speakers</w:t>
      </w:r>
    </w:p>
    <w:p w:rsidR="00D940AB" w:rsidRPr="00D940AB" w:rsidRDefault="00D940AB" w:rsidP="00D940AB">
      <w:pPr>
        <w:rPr>
          <w:sz w:val="32"/>
          <w:szCs w:val="32"/>
        </w:rPr>
      </w:pPr>
    </w:p>
    <w:p w:rsidR="00232C74" w:rsidRDefault="00232C74" w:rsidP="00232C74">
      <w:pPr>
        <w:ind w:left="360"/>
        <w:rPr>
          <w:sz w:val="32"/>
          <w:szCs w:val="32"/>
        </w:rPr>
      </w:pPr>
    </w:p>
    <w:p w:rsidR="00232C74" w:rsidRDefault="00232C74" w:rsidP="00232C74">
      <w:pPr>
        <w:ind w:left="360"/>
        <w:rPr>
          <w:sz w:val="32"/>
          <w:szCs w:val="32"/>
        </w:rPr>
      </w:pPr>
    </w:p>
    <w:p w:rsidR="00232C74" w:rsidRPr="00232C74" w:rsidRDefault="00232C74" w:rsidP="00232C74">
      <w:pPr>
        <w:ind w:left="360"/>
        <w:rPr>
          <w:sz w:val="32"/>
          <w:szCs w:val="32"/>
        </w:rPr>
      </w:pPr>
    </w:p>
    <w:p w:rsidR="00232C74" w:rsidRDefault="00232C74" w:rsidP="00232C74">
      <w:pPr>
        <w:ind w:left="360"/>
        <w:rPr>
          <w:sz w:val="32"/>
          <w:szCs w:val="32"/>
        </w:rPr>
      </w:pPr>
      <w:r w:rsidRPr="00232C74">
        <w:rPr>
          <w:sz w:val="32"/>
          <w:szCs w:val="32"/>
        </w:rPr>
        <w:t>II.4 The curriculum provides the opportunity for students to construct coherent</w:t>
      </w:r>
      <w:r>
        <w:rPr>
          <w:sz w:val="32"/>
          <w:szCs w:val="32"/>
        </w:rPr>
        <w:t xml:space="preserve"> </w:t>
      </w:r>
      <w:r w:rsidRPr="00232C74">
        <w:rPr>
          <w:sz w:val="32"/>
          <w:szCs w:val="32"/>
        </w:rPr>
        <w:t>programs of study that allow individual needs, goals, and aspirations to be met</w:t>
      </w:r>
      <w:r>
        <w:rPr>
          <w:sz w:val="32"/>
          <w:szCs w:val="32"/>
        </w:rPr>
        <w:t xml:space="preserve"> </w:t>
      </w:r>
      <w:r w:rsidRPr="00232C74">
        <w:rPr>
          <w:sz w:val="32"/>
          <w:szCs w:val="32"/>
        </w:rPr>
        <w:t>within the context of program requirements established by the school and that will</w:t>
      </w:r>
      <w:r>
        <w:rPr>
          <w:sz w:val="32"/>
          <w:szCs w:val="32"/>
        </w:rPr>
        <w:t xml:space="preserve"> </w:t>
      </w:r>
      <w:r w:rsidRPr="00232C74">
        <w:rPr>
          <w:sz w:val="32"/>
          <w:szCs w:val="32"/>
        </w:rPr>
        <w:t>foster development of the competencies necessary for productive careers. The</w:t>
      </w:r>
      <w:r>
        <w:rPr>
          <w:sz w:val="32"/>
          <w:szCs w:val="32"/>
        </w:rPr>
        <w:t xml:space="preserve"> </w:t>
      </w:r>
      <w:r w:rsidRPr="00232C74">
        <w:rPr>
          <w:sz w:val="32"/>
          <w:szCs w:val="32"/>
        </w:rPr>
        <w:t>curriculum includes as appropriate cooperative degree programs, interdisciplinary</w:t>
      </w:r>
      <w:r>
        <w:rPr>
          <w:sz w:val="32"/>
          <w:szCs w:val="32"/>
        </w:rPr>
        <w:t xml:space="preserve"> </w:t>
      </w:r>
      <w:r w:rsidRPr="00232C74">
        <w:rPr>
          <w:sz w:val="32"/>
          <w:szCs w:val="32"/>
        </w:rPr>
        <w:t>coursework and research, experiential opportunities, and other similar activities.</w:t>
      </w:r>
      <w:r>
        <w:rPr>
          <w:sz w:val="32"/>
          <w:szCs w:val="32"/>
        </w:rPr>
        <w:t xml:space="preserve"> </w:t>
      </w:r>
      <w:r w:rsidRPr="00232C74">
        <w:rPr>
          <w:sz w:val="32"/>
          <w:szCs w:val="32"/>
        </w:rPr>
        <w:t>Course content and sequence relationships within the curriculum are evident.</w:t>
      </w:r>
    </w:p>
    <w:p w:rsidR="00232C74" w:rsidRDefault="00232C74" w:rsidP="00232C74">
      <w:pPr>
        <w:ind w:left="360"/>
        <w:rPr>
          <w:sz w:val="32"/>
          <w:szCs w:val="32"/>
        </w:rPr>
      </w:pPr>
    </w:p>
    <w:p w:rsidR="00232C74" w:rsidRDefault="00232C74" w:rsidP="00232C74">
      <w:pPr>
        <w:ind w:left="360"/>
        <w:rPr>
          <w:sz w:val="32"/>
          <w:szCs w:val="32"/>
          <w:u w:val="single"/>
        </w:rPr>
      </w:pPr>
      <w:r w:rsidRPr="00232C74">
        <w:rPr>
          <w:sz w:val="32"/>
          <w:szCs w:val="32"/>
          <w:u w:val="single"/>
        </w:rPr>
        <w:t>Sources of evidence:</w:t>
      </w:r>
    </w:p>
    <w:p w:rsidR="00E90826" w:rsidRDefault="00E90826" w:rsidP="00232C74">
      <w:pPr>
        <w:ind w:left="360"/>
        <w:rPr>
          <w:sz w:val="32"/>
          <w:szCs w:val="32"/>
          <w:u w:val="single"/>
        </w:rPr>
      </w:pPr>
    </w:p>
    <w:p w:rsidR="00E90826" w:rsidRDefault="00E90826" w:rsidP="00D940AB">
      <w:pPr>
        <w:pStyle w:val="ListParagraph"/>
        <w:numPr>
          <w:ilvl w:val="0"/>
          <w:numId w:val="7"/>
        </w:numPr>
        <w:rPr>
          <w:sz w:val="32"/>
          <w:szCs w:val="32"/>
        </w:rPr>
      </w:pPr>
      <w:r w:rsidRPr="00D940AB">
        <w:rPr>
          <w:sz w:val="32"/>
          <w:szCs w:val="32"/>
        </w:rPr>
        <w:t>Table of course rotation schedule since last review through what is planned for the future.</w:t>
      </w:r>
    </w:p>
    <w:p w:rsidR="00D940AB" w:rsidRDefault="00D940AB" w:rsidP="00D940AB">
      <w:pPr>
        <w:pStyle w:val="ListParagraph"/>
        <w:ind w:left="1530"/>
        <w:rPr>
          <w:sz w:val="32"/>
          <w:szCs w:val="32"/>
        </w:rPr>
      </w:pPr>
    </w:p>
    <w:p w:rsidR="00D940AB" w:rsidRDefault="00D940AB" w:rsidP="00D940AB">
      <w:pPr>
        <w:pStyle w:val="ListParagraph"/>
        <w:numPr>
          <w:ilvl w:val="0"/>
          <w:numId w:val="7"/>
        </w:numPr>
        <w:rPr>
          <w:sz w:val="32"/>
          <w:szCs w:val="32"/>
        </w:rPr>
      </w:pPr>
      <w:r w:rsidRPr="00D940AB">
        <w:rPr>
          <w:sz w:val="32"/>
          <w:szCs w:val="32"/>
        </w:rPr>
        <w:t>Sample student plans of study</w:t>
      </w:r>
    </w:p>
    <w:p w:rsidR="001D1486" w:rsidRPr="001D1486" w:rsidRDefault="001D1486" w:rsidP="001D1486">
      <w:pPr>
        <w:rPr>
          <w:sz w:val="32"/>
          <w:szCs w:val="32"/>
        </w:rPr>
      </w:pPr>
    </w:p>
    <w:p w:rsidR="001D1486" w:rsidRDefault="001D1486" w:rsidP="00D940AB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Course prerequisites, co-requisites and prior required credits</w:t>
      </w:r>
    </w:p>
    <w:p w:rsidR="00D940AB" w:rsidRPr="00D940AB" w:rsidRDefault="00D940AB" w:rsidP="00D940AB">
      <w:pPr>
        <w:pStyle w:val="ListParagraph"/>
        <w:ind w:left="1530"/>
        <w:rPr>
          <w:sz w:val="32"/>
          <w:szCs w:val="32"/>
        </w:rPr>
      </w:pPr>
    </w:p>
    <w:p w:rsidR="00E90826" w:rsidRPr="00D940AB" w:rsidRDefault="001D1486" w:rsidP="00D940AB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Description of and t</w:t>
      </w:r>
      <w:bookmarkStart w:id="0" w:name="_GoBack"/>
      <w:bookmarkEnd w:id="0"/>
      <w:r w:rsidR="00E90826" w:rsidRPr="00D940AB">
        <w:rPr>
          <w:sz w:val="32"/>
          <w:szCs w:val="32"/>
        </w:rPr>
        <w:t>able of areas of concentration/career pathways with required and elective courses.</w:t>
      </w:r>
    </w:p>
    <w:p w:rsidR="00E90826" w:rsidRDefault="00E90826" w:rsidP="00E90826">
      <w:pPr>
        <w:ind w:left="810"/>
        <w:rPr>
          <w:sz w:val="32"/>
          <w:szCs w:val="32"/>
        </w:rPr>
      </w:pPr>
    </w:p>
    <w:p w:rsidR="00E90826" w:rsidRPr="00D940AB" w:rsidRDefault="00E90826" w:rsidP="00D940AB">
      <w:pPr>
        <w:pStyle w:val="ListParagraph"/>
        <w:numPr>
          <w:ilvl w:val="0"/>
          <w:numId w:val="7"/>
        </w:numPr>
        <w:rPr>
          <w:sz w:val="32"/>
          <w:szCs w:val="32"/>
        </w:rPr>
      </w:pPr>
      <w:r w:rsidRPr="00D940AB">
        <w:rPr>
          <w:sz w:val="32"/>
          <w:szCs w:val="32"/>
        </w:rPr>
        <w:t>Brief descriptions of experiential opportunities</w:t>
      </w:r>
    </w:p>
    <w:p w:rsidR="00232C74" w:rsidRPr="00E90826" w:rsidRDefault="00232C74" w:rsidP="00E90826">
      <w:pPr>
        <w:ind w:left="810"/>
        <w:rPr>
          <w:sz w:val="32"/>
          <w:szCs w:val="32"/>
        </w:rPr>
      </w:pPr>
    </w:p>
    <w:p w:rsidR="00232C74" w:rsidRDefault="00232C74" w:rsidP="00232C74">
      <w:pPr>
        <w:ind w:left="360"/>
        <w:rPr>
          <w:sz w:val="32"/>
          <w:szCs w:val="32"/>
        </w:rPr>
      </w:pPr>
    </w:p>
    <w:p w:rsidR="00232C74" w:rsidRDefault="00232C74" w:rsidP="00232C74">
      <w:pPr>
        <w:ind w:left="360"/>
        <w:rPr>
          <w:sz w:val="32"/>
          <w:szCs w:val="32"/>
        </w:rPr>
      </w:pPr>
    </w:p>
    <w:p w:rsidR="00232C74" w:rsidRPr="00232C74" w:rsidRDefault="00232C74" w:rsidP="00232C74">
      <w:pPr>
        <w:ind w:left="360"/>
        <w:rPr>
          <w:sz w:val="32"/>
          <w:szCs w:val="32"/>
        </w:rPr>
      </w:pPr>
      <w:r w:rsidRPr="00232C74">
        <w:rPr>
          <w:sz w:val="32"/>
          <w:szCs w:val="32"/>
        </w:rPr>
        <w:t>II.5 When a program includes study of services and activities in specialized fields, these specialized learning experiences are built upon a g</w:t>
      </w:r>
      <w:r>
        <w:rPr>
          <w:sz w:val="32"/>
          <w:szCs w:val="32"/>
        </w:rPr>
        <w:t>eneral foundation of library an</w:t>
      </w:r>
      <w:r w:rsidR="00E90826">
        <w:rPr>
          <w:sz w:val="32"/>
          <w:szCs w:val="32"/>
        </w:rPr>
        <w:t xml:space="preserve"> </w:t>
      </w:r>
      <w:r w:rsidRPr="00232C74">
        <w:rPr>
          <w:sz w:val="32"/>
          <w:szCs w:val="32"/>
        </w:rPr>
        <w:t>information studies. The design of specialized learning experiences takes into</w:t>
      </w:r>
      <w:r>
        <w:rPr>
          <w:sz w:val="32"/>
          <w:szCs w:val="32"/>
        </w:rPr>
        <w:t xml:space="preserve"> </w:t>
      </w:r>
      <w:r w:rsidRPr="00232C74">
        <w:rPr>
          <w:sz w:val="32"/>
          <w:szCs w:val="32"/>
        </w:rPr>
        <w:t>account the statements of knowledge and competencies developed by relevant</w:t>
      </w:r>
      <w:r>
        <w:rPr>
          <w:sz w:val="32"/>
          <w:szCs w:val="32"/>
        </w:rPr>
        <w:t xml:space="preserve"> </w:t>
      </w:r>
      <w:r w:rsidRPr="00232C74">
        <w:rPr>
          <w:sz w:val="32"/>
          <w:szCs w:val="32"/>
        </w:rPr>
        <w:t>professional organizations.</w:t>
      </w:r>
    </w:p>
    <w:p w:rsidR="00232C74" w:rsidRDefault="00232C74" w:rsidP="00232C74">
      <w:pPr>
        <w:ind w:left="360"/>
        <w:rPr>
          <w:sz w:val="32"/>
          <w:szCs w:val="32"/>
        </w:rPr>
      </w:pPr>
    </w:p>
    <w:p w:rsidR="00232C74" w:rsidRDefault="00232C74" w:rsidP="00232C74">
      <w:pPr>
        <w:ind w:left="360"/>
        <w:rPr>
          <w:sz w:val="32"/>
          <w:szCs w:val="32"/>
          <w:u w:val="single"/>
        </w:rPr>
      </w:pPr>
      <w:r w:rsidRPr="00232C74">
        <w:rPr>
          <w:sz w:val="32"/>
          <w:szCs w:val="32"/>
          <w:u w:val="single"/>
        </w:rPr>
        <w:t>Sources of evidence:</w:t>
      </w:r>
    </w:p>
    <w:p w:rsidR="00E90826" w:rsidRDefault="00E90826" w:rsidP="00232C74">
      <w:pPr>
        <w:ind w:left="360"/>
        <w:rPr>
          <w:sz w:val="32"/>
          <w:szCs w:val="32"/>
          <w:u w:val="single"/>
        </w:rPr>
      </w:pPr>
    </w:p>
    <w:p w:rsidR="00E90826" w:rsidRPr="00D940AB" w:rsidRDefault="00E90826" w:rsidP="00D940AB">
      <w:pPr>
        <w:pStyle w:val="ListParagraph"/>
        <w:numPr>
          <w:ilvl w:val="1"/>
          <w:numId w:val="8"/>
        </w:numPr>
        <w:rPr>
          <w:sz w:val="32"/>
          <w:szCs w:val="32"/>
        </w:rPr>
      </w:pPr>
      <w:r w:rsidRPr="00D940AB">
        <w:rPr>
          <w:sz w:val="32"/>
          <w:szCs w:val="32"/>
        </w:rPr>
        <w:t>Competency statements of relevant professional organizations [table of competencies matched to G&amp;Os/SLOs?]</w:t>
      </w:r>
    </w:p>
    <w:p w:rsidR="00D940AB" w:rsidRDefault="00D940AB" w:rsidP="00E90826">
      <w:pPr>
        <w:ind w:left="720"/>
        <w:rPr>
          <w:sz w:val="32"/>
          <w:szCs w:val="32"/>
        </w:rPr>
      </w:pPr>
    </w:p>
    <w:p w:rsidR="00D940AB" w:rsidRPr="00D940AB" w:rsidRDefault="00D940AB" w:rsidP="00D940AB">
      <w:pPr>
        <w:pStyle w:val="ListParagraph"/>
        <w:numPr>
          <w:ilvl w:val="1"/>
          <w:numId w:val="8"/>
        </w:numPr>
        <w:rPr>
          <w:sz w:val="32"/>
          <w:szCs w:val="32"/>
        </w:rPr>
      </w:pPr>
      <w:r w:rsidRPr="00D940AB">
        <w:rPr>
          <w:sz w:val="32"/>
          <w:szCs w:val="32"/>
        </w:rPr>
        <w:t>Description of certificate programs and required course listings</w:t>
      </w:r>
    </w:p>
    <w:p w:rsidR="00232C74" w:rsidRPr="00E90826" w:rsidRDefault="00232C74" w:rsidP="00232C74">
      <w:pPr>
        <w:ind w:left="360"/>
        <w:rPr>
          <w:sz w:val="32"/>
          <w:szCs w:val="32"/>
        </w:rPr>
      </w:pPr>
    </w:p>
    <w:p w:rsidR="00232C74" w:rsidRDefault="00232C74" w:rsidP="00232C74">
      <w:pPr>
        <w:ind w:left="360"/>
        <w:rPr>
          <w:sz w:val="32"/>
          <w:szCs w:val="32"/>
        </w:rPr>
      </w:pPr>
    </w:p>
    <w:p w:rsidR="00232C74" w:rsidRDefault="00232C74" w:rsidP="00232C74">
      <w:pPr>
        <w:ind w:left="360"/>
        <w:rPr>
          <w:sz w:val="32"/>
          <w:szCs w:val="32"/>
        </w:rPr>
      </w:pPr>
      <w:r w:rsidRPr="00232C74">
        <w:rPr>
          <w:sz w:val="32"/>
          <w:szCs w:val="32"/>
        </w:rPr>
        <w:t>II.6 The curriculum, regardless of forms or locations of delivery selected by the school,</w:t>
      </w:r>
      <w:r>
        <w:rPr>
          <w:sz w:val="32"/>
          <w:szCs w:val="32"/>
        </w:rPr>
        <w:t xml:space="preserve"> </w:t>
      </w:r>
      <w:r w:rsidRPr="00232C74">
        <w:rPr>
          <w:sz w:val="32"/>
          <w:szCs w:val="32"/>
        </w:rPr>
        <w:t>conforms to the requirements of these Standards.</w:t>
      </w:r>
    </w:p>
    <w:p w:rsidR="00232C74" w:rsidRDefault="00232C74" w:rsidP="00232C74">
      <w:pPr>
        <w:ind w:left="360"/>
        <w:rPr>
          <w:sz w:val="32"/>
          <w:szCs w:val="32"/>
        </w:rPr>
      </w:pPr>
    </w:p>
    <w:p w:rsidR="00232C74" w:rsidRDefault="00232C74" w:rsidP="00232C74">
      <w:pPr>
        <w:ind w:left="360"/>
        <w:rPr>
          <w:sz w:val="32"/>
          <w:szCs w:val="32"/>
          <w:u w:val="single"/>
        </w:rPr>
      </w:pPr>
      <w:r w:rsidRPr="00232C74">
        <w:rPr>
          <w:sz w:val="32"/>
          <w:szCs w:val="32"/>
          <w:u w:val="single"/>
        </w:rPr>
        <w:t>Sources of evidence:</w:t>
      </w:r>
    </w:p>
    <w:p w:rsidR="00D940AB" w:rsidRDefault="00D940AB" w:rsidP="00232C74">
      <w:pPr>
        <w:ind w:left="360"/>
        <w:rPr>
          <w:sz w:val="32"/>
          <w:szCs w:val="32"/>
          <w:u w:val="single"/>
        </w:rPr>
      </w:pPr>
    </w:p>
    <w:p w:rsidR="00D940AB" w:rsidRDefault="00D940AB" w:rsidP="00D940AB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242424"/>
          <w:sz w:val="32"/>
          <w:szCs w:val="32"/>
        </w:rPr>
      </w:pPr>
      <w:r w:rsidRPr="00D940AB">
        <w:rPr>
          <w:rFonts w:ascii="Times New Roman" w:hAnsi="Times New Roman" w:cs="Times New Roman"/>
          <w:color w:val="242424"/>
          <w:sz w:val="32"/>
          <w:szCs w:val="32"/>
        </w:rPr>
        <w:t>Table of course numbers and descriptions, including locations and/or forms of delivery</w:t>
      </w:r>
    </w:p>
    <w:p w:rsidR="001D1486" w:rsidRDefault="001D1486" w:rsidP="001D1486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800"/>
        <w:rPr>
          <w:rFonts w:ascii="Times New Roman" w:hAnsi="Times New Roman" w:cs="Times New Roman"/>
          <w:color w:val="242424"/>
          <w:sz w:val="32"/>
          <w:szCs w:val="32"/>
        </w:rPr>
      </w:pPr>
    </w:p>
    <w:p w:rsidR="001D1486" w:rsidRDefault="001D1486" w:rsidP="00D940AB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242424"/>
          <w:sz w:val="32"/>
          <w:szCs w:val="32"/>
        </w:rPr>
      </w:pPr>
      <w:r>
        <w:rPr>
          <w:rFonts w:ascii="Times New Roman" w:hAnsi="Times New Roman" w:cs="Times New Roman"/>
          <w:color w:val="242424"/>
          <w:sz w:val="32"/>
          <w:szCs w:val="32"/>
        </w:rPr>
        <w:t>Description of off-campus locations and enrollment</w:t>
      </w:r>
    </w:p>
    <w:p w:rsidR="001D1486" w:rsidRPr="001D1486" w:rsidRDefault="001D1486" w:rsidP="001D148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242424"/>
          <w:sz w:val="32"/>
          <w:szCs w:val="32"/>
        </w:rPr>
      </w:pPr>
    </w:p>
    <w:p w:rsidR="001D1486" w:rsidRPr="00D940AB" w:rsidRDefault="001D1486" w:rsidP="00D940AB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242424"/>
          <w:sz w:val="32"/>
          <w:szCs w:val="32"/>
        </w:rPr>
      </w:pPr>
      <w:r>
        <w:rPr>
          <w:rFonts w:ascii="Times New Roman" w:hAnsi="Times New Roman" w:cs="Times New Roman"/>
          <w:color w:val="242424"/>
          <w:sz w:val="32"/>
          <w:szCs w:val="32"/>
        </w:rPr>
        <w:t>Development of online and hybrid courses</w:t>
      </w:r>
    </w:p>
    <w:p w:rsidR="00D940AB" w:rsidRPr="00D940AB" w:rsidRDefault="00D940AB" w:rsidP="00232C74">
      <w:pPr>
        <w:ind w:left="360"/>
        <w:rPr>
          <w:sz w:val="32"/>
          <w:szCs w:val="32"/>
        </w:rPr>
      </w:pPr>
    </w:p>
    <w:p w:rsidR="00232C74" w:rsidRPr="00232C74" w:rsidRDefault="00232C74" w:rsidP="00232C74">
      <w:pPr>
        <w:ind w:left="360"/>
        <w:rPr>
          <w:sz w:val="32"/>
          <w:szCs w:val="32"/>
        </w:rPr>
      </w:pPr>
    </w:p>
    <w:p w:rsidR="00232C74" w:rsidRDefault="00232C74" w:rsidP="00232C74">
      <w:pPr>
        <w:ind w:left="360"/>
        <w:rPr>
          <w:sz w:val="32"/>
          <w:szCs w:val="32"/>
        </w:rPr>
      </w:pPr>
    </w:p>
    <w:p w:rsidR="00232C74" w:rsidRDefault="00232C74" w:rsidP="00232C74">
      <w:pPr>
        <w:ind w:left="360"/>
        <w:rPr>
          <w:sz w:val="32"/>
          <w:szCs w:val="32"/>
        </w:rPr>
      </w:pPr>
    </w:p>
    <w:p w:rsidR="00232C74" w:rsidRDefault="00232C74" w:rsidP="00232C74">
      <w:pPr>
        <w:ind w:left="360"/>
        <w:rPr>
          <w:sz w:val="32"/>
          <w:szCs w:val="32"/>
        </w:rPr>
      </w:pPr>
      <w:r w:rsidRPr="00232C74">
        <w:rPr>
          <w:sz w:val="32"/>
          <w:szCs w:val="32"/>
        </w:rPr>
        <w:t>II.7 The curriculum is continually reviewed and receptive to innovation; its evaluation is</w:t>
      </w:r>
      <w:r>
        <w:rPr>
          <w:sz w:val="32"/>
          <w:szCs w:val="32"/>
        </w:rPr>
        <w:t xml:space="preserve"> </w:t>
      </w:r>
      <w:r w:rsidRPr="00232C74">
        <w:rPr>
          <w:sz w:val="32"/>
          <w:szCs w:val="32"/>
        </w:rPr>
        <w:t>used for ongoing appraisal, to make improvements, and to plan for the future.</w:t>
      </w:r>
      <w:r>
        <w:rPr>
          <w:sz w:val="32"/>
          <w:szCs w:val="32"/>
        </w:rPr>
        <w:t xml:space="preserve"> </w:t>
      </w:r>
      <w:r w:rsidRPr="00232C74">
        <w:rPr>
          <w:sz w:val="32"/>
          <w:szCs w:val="32"/>
        </w:rPr>
        <w:t>Evaluation of the curriculum includes assessment of students' achievements and</w:t>
      </w:r>
      <w:r>
        <w:rPr>
          <w:sz w:val="32"/>
          <w:szCs w:val="32"/>
        </w:rPr>
        <w:t xml:space="preserve"> </w:t>
      </w:r>
      <w:r w:rsidRPr="00232C74">
        <w:rPr>
          <w:sz w:val="32"/>
          <w:szCs w:val="32"/>
        </w:rPr>
        <w:t>their subsequent accomplishments. Evaluation involves those served by the</w:t>
      </w:r>
      <w:r>
        <w:rPr>
          <w:sz w:val="32"/>
          <w:szCs w:val="32"/>
        </w:rPr>
        <w:t xml:space="preserve"> </w:t>
      </w:r>
      <w:r w:rsidRPr="00232C74">
        <w:rPr>
          <w:sz w:val="32"/>
          <w:szCs w:val="32"/>
        </w:rPr>
        <w:t>program: students, faculty, employers, alumni, and other constituents.</w:t>
      </w:r>
    </w:p>
    <w:p w:rsidR="00232C74" w:rsidRDefault="00232C74" w:rsidP="00232C74">
      <w:pPr>
        <w:ind w:left="360"/>
        <w:rPr>
          <w:sz w:val="32"/>
          <w:szCs w:val="32"/>
        </w:rPr>
      </w:pPr>
    </w:p>
    <w:p w:rsidR="00232C74" w:rsidRDefault="00232C74" w:rsidP="00232C74">
      <w:pPr>
        <w:ind w:left="360"/>
        <w:rPr>
          <w:sz w:val="32"/>
          <w:szCs w:val="32"/>
          <w:u w:val="single"/>
        </w:rPr>
      </w:pPr>
      <w:r w:rsidRPr="00232C74">
        <w:rPr>
          <w:sz w:val="32"/>
          <w:szCs w:val="32"/>
          <w:u w:val="single"/>
        </w:rPr>
        <w:t>Sources of evidence:</w:t>
      </w:r>
    </w:p>
    <w:p w:rsidR="00E90826" w:rsidRPr="00D940AB" w:rsidRDefault="00E90826" w:rsidP="00D940AB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D940AB">
        <w:rPr>
          <w:sz w:val="32"/>
          <w:szCs w:val="32"/>
        </w:rPr>
        <w:t>Description of curriculum development and review process, including people involved.</w:t>
      </w:r>
    </w:p>
    <w:p w:rsidR="00232C74" w:rsidRPr="00E90826" w:rsidRDefault="00232C74" w:rsidP="00232C74">
      <w:pPr>
        <w:ind w:left="360"/>
        <w:rPr>
          <w:sz w:val="32"/>
          <w:szCs w:val="32"/>
        </w:rPr>
      </w:pPr>
    </w:p>
    <w:p w:rsidR="007B3047" w:rsidRPr="00232C74" w:rsidRDefault="007B3047">
      <w:pPr>
        <w:rPr>
          <w:sz w:val="32"/>
          <w:szCs w:val="32"/>
        </w:rPr>
      </w:pPr>
    </w:p>
    <w:sectPr w:rsidR="007B3047" w:rsidRPr="00232C74" w:rsidSect="007B3047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AD2C9E"/>
    <w:multiLevelType w:val="hybridMultilevel"/>
    <w:tmpl w:val="E5DE2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23E87"/>
    <w:multiLevelType w:val="hybridMultilevel"/>
    <w:tmpl w:val="105C1B4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AEE407F"/>
    <w:multiLevelType w:val="hybridMultilevel"/>
    <w:tmpl w:val="3394FD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7435EF4"/>
    <w:multiLevelType w:val="hybridMultilevel"/>
    <w:tmpl w:val="0616FD5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3A7725AF"/>
    <w:multiLevelType w:val="hybridMultilevel"/>
    <w:tmpl w:val="B2CE0D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A0195"/>
    <w:multiLevelType w:val="hybridMultilevel"/>
    <w:tmpl w:val="AF5C0EC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44E24FA6"/>
    <w:multiLevelType w:val="hybridMultilevel"/>
    <w:tmpl w:val="98708D72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>
    <w:nsid w:val="5C690082"/>
    <w:multiLevelType w:val="hybridMultilevel"/>
    <w:tmpl w:val="5290B3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771D46"/>
    <w:multiLevelType w:val="hybridMultilevel"/>
    <w:tmpl w:val="7A12937E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>
    <w:nsid w:val="711C0018"/>
    <w:multiLevelType w:val="hybridMultilevel"/>
    <w:tmpl w:val="ABD4747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FELayout/>
  </w:compat>
  <w:rsids>
    <w:rsidRoot w:val="00232C74"/>
    <w:rsid w:val="001258A8"/>
    <w:rsid w:val="001A2E3E"/>
    <w:rsid w:val="001D1486"/>
    <w:rsid w:val="00232C74"/>
    <w:rsid w:val="00455F4F"/>
    <w:rsid w:val="005F2FE3"/>
    <w:rsid w:val="007B3047"/>
    <w:rsid w:val="009D0E7F"/>
    <w:rsid w:val="00AF29D0"/>
    <w:rsid w:val="00D940AB"/>
    <w:rsid w:val="00E90826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E3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5F2F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F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770</Words>
  <Characters>4389</Characters>
  <Application>Microsoft Word 12.0.0</Application>
  <DocSecurity>0</DocSecurity>
  <Lines>36</Lines>
  <Paragraphs>8</Paragraphs>
  <ScaleCrop>false</ScaleCrop>
  <Company>Queens College/CUNY</Company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 Chelton</dc:creator>
  <cp:keywords/>
  <dc:description/>
  <cp:lastModifiedBy>Claudia  Perry</cp:lastModifiedBy>
  <cp:revision>2</cp:revision>
  <cp:lastPrinted>2014-03-17T15:54:00Z</cp:lastPrinted>
  <dcterms:created xsi:type="dcterms:W3CDTF">2014-03-20T14:30:00Z</dcterms:created>
  <dcterms:modified xsi:type="dcterms:W3CDTF">2014-03-20T14:30:00Z</dcterms:modified>
</cp:coreProperties>
</file>