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CB" w:rsidRDefault="00D46A30" w:rsidP="00BE20CB">
      <w:pPr>
        <w:spacing w:after="0" w:line="240" w:lineRule="auto"/>
        <w:jc w:val="center"/>
        <w:rPr>
          <w:rFonts w:ascii="Arial" w:eastAsia="Times New Roman" w:hAnsi="Arial" w:cs="Arial"/>
          <w:color w:val="000000"/>
          <w:sz w:val="24"/>
          <w:szCs w:val="24"/>
        </w:rPr>
      </w:pPr>
      <w:bookmarkStart w:id="0" w:name="_GoBack"/>
      <w:bookmarkEnd w:id="0"/>
      <w:r>
        <w:rPr>
          <w:rFonts w:ascii="Arial" w:eastAsia="Times New Roman" w:hAnsi="Arial" w:cs="Arial"/>
          <w:noProof/>
          <w:color w:val="000000"/>
          <w:sz w:val="24"/>
          <w:szCs w:val="24"/>
        </w:rPr>
        <w:drawing>
          <wp:inline distT="0" distB="0" distL="0" distR="0">
            <wp:extent cx="1409700" cy="1952625"/>
            <wp:effectExtent l="19050" t="19050" r="19050" b="28575"/>
            <wp:docPr id="1" name="Picture 1" descr="WSO 63 Bus Car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O 63 Bus Card JPEG"/>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1409700" cy="1952625"/>
                    </a:xfrm>
                    <a:prstGeom prst="rect">
                      <a:avLst/>
                    </a:prstGeom>
                    <a:noFill/>
                    <a:ln w="12700" cmpd="sng">
                      <a:solidFill>
                        <a:srgbClr val="000000"/>
                      </a:solidFill>
                      <a:miter lim="800000"/>
                      <a:headEnd/>
                      <a:tailEnd/>
                    </a:ln>
                    <a:effectLst/>
                  </pic:spPr>
                </pic:pic>
              </a:graphicData>
            </a:graphic>
          </wp:inline>
        </w:drawing>
      </w:r>
      <w:r w:rsidR="00BE20CB">
        <w:rPr>
          <w:rFonts w:ascii="Arial" w:eastAsia="Times New Roman" w:hAnsi="Arial" w:cs="Arial"/>
          <w:noProof/>
          <w:color w:val="000000"/>
          <w:sz w:val="24"/>
          <w:szCs w:val="24"/>
        </w:rPr>
        <w:t xml:space="preserve"> </w:t>
      </w:r>
      <w:r w:rsidR="00BA6A5F">
        <w:rPr>
          <w:rFonts w:ascii="Arial" w:eastAsia="Times New Roman" w:hAnsi="Arial" w:cs="Arial"/>
          <w:noProof/>
          <w:color w:val="000000"/>
          <w:sz w:val="24"/>
          <w:szCs w:val="24"/>
        </w:rPr>
        <w:t xml:space="preserve">   </w:t>
      </w:r>
      <w:r w:rsidR="00BE20CB">
        <w:rPr>
          <w:rFonts w:ascii="Arial" w:eastAsia="Times New Roman" w:hAnsi="Arial" w:cs="Arial"/>
          <w:noProof/>
          <w:color w:val="000000"/>
          <w:sz w:val="24"/>
          <w:szCs w:val="24"/>
        </w:rPr>
        <w:t xml:space="preserve">   </w:t>
      </w:r>
      <w:r w:rsidR="00371FEE">
        <w:rPr>
          <w:rFonts w:ascii="Arial" w:eastAsia="Times New Roman" w:hAnsi="Arial" w:cs="Arial"/>
          <w:noProof/>
          <w:color w:val="000000"/>
          <w:sz w:val="24"/>
          <w:szCs w:val="24"/>
        </w:rPr>
        <w:t xml:space="preserve">    </w:t>
      </w:r>
      <w:r w:rsidR="00A93D0E">
        <w:rPr>
          <w:rFonts w:ascii="Arial" w:eastAsia="Times New Roman" w:hAnsi="Arial" w:cs="Arial"/>
          <w:noProof/>
          <w:color w:val="000000"/>
          <w:sz w:val="24"/>
          <w:szCs w:val="24"/>
        </w:rPr>
        <w:t>.</w:t>
      </w:r>
      <w:r w:rsidR="00371FEE">
        <w:rPr>
          <w:rFonts w:ascii="Arial" w:eastAsia="Times New Roman" w:hAnsi="Arial" w:cs="Arial"/>
          <w:noProof/>
          <w:color w:val="000000"/>
          <w:sz w:val="24"/>
          <w:szCs w:val="24"/>
        </w:rPr>
        <w:t xml:space="preserve">        </w:t>
      </w:r>
      <w:r>
        <w:rPr>
          <w:rFonts w:ascii="Arial" w:eastAsia="Times New Roman" w:hAnsi="Arial" w:cs="Arial"/>
          <w:noProof/>
          <w:color w:val="000000"/>
          <w:sz w:val="24"/>
          <w:szCs w:val="24"/>
        </w:rPr>
        <w:drawing>
          <wp:inline distT="0" distB="0" distL="0" distR="0">
            <wp:extent cx="1704975" cy="2266950"/>
            <wp:effectExtent l="19050" t="19050" r="28575" b="19050"/>
            <wp:docPr id="2" name="Picture 2" descr="cid:ii_141b7c3b133e16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i_141b7c3b133e16c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2266950"/>
                    </a:xfrm>
                    <a:prstGeom prst="rect">
                      <a:avLst/>
                    </a:prstGeom>
                    <a:noFill/>
                    <a:ln w="6350" cmpd="sng">
                      <a:solidFill>
                        <a:srgbClr val="000000"/>
                      </a:solidFill>
                      <a:miter lim="800000"/>
                      <a:headEnd/>
                      <a:tailEnd/>
                    </a:ln>
                    <a:effectLst/>
                  </pic:spPr>
                </pic:pic>
              </a:graphicData>
            </a:graphic>
          </wp:inline>
        </w:drawing>
      </w:r>
      <w:r w:rsidR="00371FEE">
        <w:rPr>
          <w:rFonts w:ascii="Arial" w:eastAsia="Times New Roman" w:hAnsi="Arial" w:cs="Arial"/>
          <w:noProof/>
          <w:color w:val="000000"/>
          <w:sz w:val="24"/>
          <w:szCs w:val="24"/>
        </w:rPr>
        <w:t xml:space="preserve">           </w:t>
      </w:r>
      <w:r w:rsidR="00BE20CB">
        <w:rPr>
          <w:rFonts w:ascii="Arial" w:eastAsia="Times New Roman" w:hAnsi="Arial" w:cs="Arial"/>
          <w:noProof/>
          <w:color w:val="000000"/>
          <w:sz w:val="24"/>
          <w:szCs w:val="24"/>
        </w:rPr>
        <w:t xml:space="preserve">  </w:t>
      </w:r>
      <w:r w:rsidR="00E8010F">
        <w:rPr>
          <w:rFonts w:ascii="Arial" w:eastAsia="Times New Roman" w:hAnsi="Arial" w:cs="Arial"/>
          <w:noProof/>
          <w:color w:val="000000"/>
          <w:sz w:val="24"/>
          <w:szCs w:val="24"/>
        </w:rPr>
        <w:t xml:space="preserve">     </w:t>
      </w:r>
      <w:r w:rsidR="00F30B7D">
        <w:rPr>
          <w:rFonts w:ascii="Arial" w:eastAsia="Times New Roman" w:hAnsi="Arial" w:cs="Arial"/>
          <w:noProof/>
          <w:color w:val="000000"/>
          <w:sz w:val="24"/>
          <w:szCs w:val="24"/>
        </w:rPr>
        <w:t xml:space="preserve"> </w:t>
      </w:r>
      <w:r w:rsidR="008A4F22">
        <w:rPr>
          <w:rFonts w:ascii="Arial" w:eastAsia="Times New Roman" w:hAnsi="Arial" w:cs="Arial"/>
          <w:noProof/>
          <w:color w:val="000000"/>
          <w:sz w:val="24"/>
          <w:szCs w:val="24"/>
        </w:rPr>
        <w:t xml:space="preserve"> </w:t>
      </w:r>
      <w:r w:rsidR="00E8010F">
        <w:rPr>
          <w:rFonts w:ascii="Arial" w:eastAsia="Times New Roman" w:hAnsi="Arial" w:cs="Arial"/>
          <w:noProof/>
          <w:color w:val="000000"/>
          <w:sz w:val="24"/>
          <w:szCs w:val="24"/>
        </w:rPr>
        <w:t xml:space="preserve"> </w:t>
      </w:r>
      <w:r>
        <w:rPr>
          <w:rFonts w:ascii="Arial" w:eastAsia="Times New Roman" w:hAnsi="Arial" w:cs="Arial"/>
          <w:noProof/>
          <w:color w:val="000000"/>
          <w:sz w:val="24"/>
          <w:szCs w:val="24"/>
        </w:rPr>
        <w:drawing>
          <wp:inline distT="0" distB="0" distL="0" distR="0">
            <wp:extent cx="1390650" cy="190500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1905000"/>
                    </a:xfrm>
                    <a:prstGeom prst="rect">
                      <a:avLst/>
                    </a:prstGeom>
                    <a:noFill/>
                    <a:ln w="12700" cmpd="sng">
                      <a:solidFill>
                        <a:srgbClr val="000000"/>
                      </a:solidFill>
                      <a:miter lim="800000"/>
                      <a:headEnd/>
                      <a:tailEnd/>
                    </a:ln>
                    <a:effectLst/>
                  </pic:spPr>
                </pic:pic>
              </a:graphicData>
            </a:graphic>
          </wp:inline>
        </w:drawing>
      </w:r>
      <w:r w:rsidR="00E8010F">
        <w:rPr>
          <w:rFonts w:ascii="Arial" w:eastAsia="Times New Roman" w:hAnsi="Arial" w:cs="Arial"/>
          <w:noProof/>
          <w:color w:val="000000"/>
          <w:sz w:val="24"/>
          <w:szCs w:val="24"/>
        </w:rPr>
        <w:t xml:space="preserve">  </w:t>
      </w:r>
      <w:r w:rsidR="0056077F">
        <w:rPr>
          <w:rFonts w:ascii="Arial" w:eastAsia="Times New Roman" w:hAnsi="Arial" w:cs="Arial"/>
          <w:noProof/>
          <w:color w:val="000000"/>
          <w:sz w:val="24"/>
          <w:szCs w:val="24"/>
        </w:rPr>
        <w:t xml:space="preserve">              </w:t>
      </w:r>
      <w:r w:rsidR="00E8010F">
        <w:rPr>
          <w:rFonts w:ascii="Arial" w:eastAsia="Times New Roman" w:hAnsi="Arial" w:cs="Arial"/>
          <w:noProof/>
          <w:color w:val="000000"/>
          <w:sz w:val="24"/>
          <w:szCs w:val="24"/>
        </w:rPr>
        <w:t xml:space="preserve">  </w:t>
      </w:r>
      <w:r w:rsidR="00BE20CB">
        <w:rPr>
          <w:rFonts w:ascii="Arial" w:eastAsia="Times New Roman" w:hAnsi="Arial" w:cs="Arial"/>
          <w:noProof/>
          <w:color w:val="000000"/>
          <w:sz w:val="24"/>
          <w:szCs w:val="24"/>
        </w:rPr>
        <w:t xml:space="preserve">        </w:t>
      </w:r>
      <w:r w:rsidR="00BA6A5F">
        <w:rPr>
          <w:rFonts w:ascii="Arial" w:eastAsia="Times New Roman" w:hAnsi="Arial" w:cs="Arial"/>
          <w:noProof/>
          <w:color w:val="000000"/>
          <w:sz w:val="24"/>
          <w:szCs w:val="24"/>
        </w:rPr>
        <w:t xml:space="preserve"> </w:t>
      </w:r>
      <w:r w:rsidR="00BE20CB">
        <w:rPr>
          <w:rFonts w:ascii="Arial" w:eastAsia="Times New Roman" w:hAnsi="Arial" w:cs="Arial"/>
          <w:noProof/>
          <w:color w:val="000000"/>
          <w:sz w:val="24"/>
          <w:szCs w:val="24"/>
        </w:rPr>
        <w:t xml:space="preserve"> </w:t>
      </w:r>
    </w:p>
    <w:p w:rsidR="009873B9" w:rsidRDefault="009873B9" w:rsidP="002457E3">
      <w:pPr>
        <w:spacing w:after="0" w:line="240" w:lineRule="auto"/>
        <w:rPr>
          <w:rFonts w:ascii="Arial" w:eastAsia="Times New Roman" w:hAnsi="Arial" w:cs="Arial"/>
          <w:color w:val="000000"/>
          <w:sz w:val="24"/>
          <w:szCs w:val="24"/>
        </w:rPr>
      </w:pPr>
    </w:p>
    <w:p w:rsidR="0002700B" w:rsidRPr="009873B9" w:rsidRDefault="00D46A30" w:rsidP="002457E3">
      <w:pPr>
        <w:spacing w:after="0" w:line="240" w:lineRule="auto"/>
        <w:rPr>
          <w:rFonts w:ascii="Arial" w:eastAsia="Times New Roman" w:hAnsi="Arial" w:cs="Arial"/>
          <w:b/>
          <w:color w:val="000000"/>
          <w:sz w:val="16"/>
          <w:szCs w:val="16"/>
        </w:rPr>
      </w:pPr>
      <w:r>
        <w:rPr>
          <w:rFonts w:ascii="Arial" w:eastAsia="Times New Roman" w:hAnsi="Arial" w:cs="Arial"/>
          <w:b/>
          <w:noProof/>
          <w:color w:val="000000"/>
          <w:sz w:val="16"/>
          <w:szCs w:val="16"/>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6360160" cy="505460"/>
                <wp:effectExtent l="9525" t="9525" r="1206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160" cy="505460"/>
                        </a:xfrm>
                        <a:prstGeom prst="rect">
                          <a:avLst/>
                        </a:prstGeom>
                        <a:solidFill>
                          <a:srgbClr val="FFFFFF"/>
                        </a:solidFill>
                        <a:ln w="9525">
                          <a:solidFill>
                            <a:srgbClr val="000000"/>
                          </a:solidFill>
                          <a:miter lim="800000"/>
                          <a:headEnd/>
                          <a:tailEnd/>
                        </a:ln>
                      </wps:spPr>
                      <wps:txbx>
                        <w:txbxContent>
                          <w:p w:rsidR="008241A7" w:rsidRPr="00BA6A5F" w:rsidRDefault="008241A7" w:rsidP="008241A7">
                            <w:pPr>
                              <w:spacing w:after="0"/>
                              <w:jc w:val="center"/>
                              <w:rPr>
                                <w:rFonts w:ascii="Comic Sans MS" w:hAnsi="Comic Sans MS"/>
                              </w:rPr>
                            </w:pPr>
                            <w:r w:rsidRPr="0056077F">
                              <w:rPr>
                                <w:rFonts w:ascii="Comic Sans MS" w:hAnsi="Comic Sans MS"/>
                                <w:sz w:val="20"/>
                                <w:szCs w:val="20"/>
                              </w:rPr>
                              <w:t>2013-2014</w:t>
                            </w:r>
                            <w:r>
                              <w:rPr>
                                <w:rFonts w:ascii="Comic Sans MS" w:hAnsi="Comic Sans MS"/>
                                <w:sz w:val="20"/>
                                <w:szCs w:val="20"/>
                              </w:rPr>
                              <w:t>:</w:t>
                            </w:r>
                            <w:r w:rsidRPr="0056077F">
                              <w:rPr>
                                <w:rFonts w:ascii="Comic Sans MS" w:hAnsi="Comic Sans MS"/>
                                <w:sz w:val="20"/>
                                <w:szCs w:val="20"/>
                              </w:rPr>
                              <w:t xml:space="preserve"> </w:t>
                            </w:r>
                            <w:r>
                              <w:rPr>
                                <w:rFonts w:ascii="Comic Sans MS" w:hAnsi="Comic Sans MS"/>
                                <w:sz w:val="20"/>
                                <w:szCs w:val="20"/>
                              </w:rPr>
                              <w:t xml:space="preserve">A Year of </w:t>
                            </w:r>
                            <w:r w:rsidRPr="0056077F">
                              <w:rPr>
                                <w:rFonts w:ascii="Comic Sans MS" w:hAnsi="Comic Sans MS"/>
                                <w:sz w:val="20"/>
                                <w:szCs w:val="20"/>
                              </w:rPr>
                              <w:t>Civil Rights Movemen</w:t>
                            </w:r>
                            <w:r>
                              <w:rPr>
                                <w:rFonts w:ascii="Comic Sans MS" w:hAnsi="Comic Sans MS"/>
                                <w:sz w:val="20"/>
                                <w:szCs w:val="20"/>
                              </w:rPr>
                              <w:t xml:space="preserve">t </w:t>
                            </w:r>
                            <w:r w:rsidRPr="0056077F">
                              <w:rPr>
                                <w:rFonts w:ascii="Comic Sans MS" w:hAnsi="Comic Sans MS"/>
                                <w:sz w:val="20"/>
                                <w:szCs w:val="20"/>
                              </w:rPr>
                              <w:t xml:space="preserve">50th Anniversaries </w:t>
                            </w:r>
                            <w:r>
                              <w:rPr>
                                <w:rFonts w:ascii="Comic Sans MS" w:hAnsi="Comic Sans MS"/>
                              </w:rPr>
                              <w:t>Commemoration Initiative</w:t>
                            </w:r>
                          </w:p>
                          <w:p w:rsidR="008241A7" w:rsidRDefault="008241A7" w:rsidP="008241A7">
                            <w:pPr>
                              <w:spacing w:after="0"/>
                              <w:jc w:val="center"/>
                              <w:rPr>
                                <w:rFonts w:ascii="Comic Sans MS" w:hAnsi="Comic Sans MS"/>
                                <w:sz w:val="20"/>
                                <w:szCs w:val="20"/>
                              </w:rPr>
                            </w:pPr>
                            <w:r w:rsidRPr="0056077F">
                              <w:rPr>
                                <w:rFonts w:ascii="Comic Sans MS" w:hAnsi="Comic Sans MS"/>
                                <w:sz w:val="20"/>
                                <w:szCs w:val="20"/>
                              </w:rPr>
                              <w:t>Queens College</w:t>
                            </w:r>
                            <w:r>
                              <w:rPr>
                                <w:rFonts w:ascii="Comic Sans MS" w:hAnsi="Comic Sans MS"/>
                                <w:sz w:val="20"/>
                                <w:szCs w:val="20"/>
                              </w:rPr>
                              <w:t>/</w:t>
                            </w:r>
                            <w:r w:rsidRPr="0056077F">
                              <w:rPr>
                                <w:rFonts w:ascii="Comic Sans MS" w:hAnsi="Comic Sans MS"/>
                                <w:sz w:val="20"/>
                                <w:szCs w:val="20"/>
                              </w:rPr>
                              <w:t>CUNY</w:t>
                            </w:r>
                            <w:r>
                              <w:rPr>
                                <w:rFonts w:ascii="Comic Sans MS" w:hAnsi="Comic Sans MS"/>
                                <w:sz w:val="20"/>
                                <w:szCs w:val="20"/>
                              </w:rPr>
                              <w:t xml:space="preserve"> Flushing, NY 11357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00.8pt;height:39.8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">
                <v:textbox>
                  <w:txbxContent>
                    <w:p w:rsidR="008241A7" w:rsidRPr="00BA6A5F" w:rsidRDefault="008241A7" w:rsidP="008241A7">
                      <w:pPr>
                        <w:spacing w:after="0"/>
                        <w:jc w:val="center"/>
                        <w:rPr>
                          <w:rFonts w:ascii="Comic Sans MS" w:hAnsi="Comic Sans MS"/>
                        </w:rPr>
                      </w:pPr>
                      <w:r w:rsidRPr="0056077F">
                        <w:rPr>
                          <w:rFonts w:ascii="Comic Sans MS" w:hAnsi="Comic Sans MS"/>
                          <w:sz w:val="20"/>
                          <w:szCs w:val="20"/>
                        </w:rPr>
                        <w:t>2013-2014</w:t>
                      </w:r>
                      <w:r>
                        <w:rPr>
                          <w:rFonts w:ascii="Comic Sans MS" w:hAnsi="Comic Sans MS"/>
                          <w:sz w:val="20"/>
                          <w:szCs w:val="20"/>
                        </w:rPr>
                        <w:t>:</w:t>
                      </w:r>
                      <w:r w:rsidRPr="0056077F">
                        <w:rPr>
                          <w:rFonts w:ascii="Comic Sans MS" w:hAnsi="Comic Sans MS"/>
                          <w:sz w:val="20"/>
                          <w:szCs w:val="20"/>
                        </w:rPr>
                        <w:t xml:space="preserve"> </w:t>
                      </w:r>
                      <w:r>
                        <w:rPr>
                          <w:rFonts w:ascii="Comic Sans MS" w:hAnsi="Comic Sans MS"/>
                          <w:sz w:val="20"/>
                          <w:szCs w:val="20"/>
                        </w:rPr>
                        <w:t xml:space="preserve">A Year of </w:t>
                      </w:r>
                      <w:r w:rsidRPr="0056077F">
                        <w:rPr>
                          <w:rFonts w:ascii="Comic Sans MS" w:hAnsi="Comic Sans MS"/>
                          <w:sz w:val="20"/>
                          <w:szCs w:val="20"/>
                        </w:rPr>
                        <w:t>Civil Rights Movemen</w:t>
                      </w:r>
                      <w:r>
                        <w:rPr>
                          <w:rFonts w:ascii="Comic Sans MS" w:hAnsi="Comic Sans MS"/>
                          <w:sz w:val="20"/>
                          <w:szCs w:val="20"/>
                        </w:rPr>
                        <w:t xml:space="preserve">t </w:t>
                      </w:r>
                      <w:r w:rsidRPr="0056077F">
                        <w:rPr>
                          <w:rFonts w:ascii="Comic Sans MS" w:hAnsi="Comic Sans MS"/>
                          <w:sz w:val="20"/>
                          <w:szCs w:val="20"/>
                        </w:rPr>
                        <w:t xml:space="preserve">50th Anniversaries </w:t>
                      </w:r>
                      <w:r>
                        <w:rPr>
                          <w:rFonts w:ascii="Comic Sans MS" w:hAnsi="Comic Sans MS"/>
                        </w:rPr>
                        <w:t>Commemoration Initiative</w:t>
                      </w:r>
                    </w:p>
                    <w:p w:rsidR="008241A7" w:rsidRDefault="008241A7" w:rsidP="008241A7">
                      <w:pPr>
                        <w:spacing w:after="0"/>
                        <w:jc w:val="center"/>
                        <w:rPr>
                          <w:rFonts w:ascii="Comic Sans MS" w:hAnsi="Comic Sans MS"/>
                          <w:sz w:val="20"/>
                          <w:szCs w:val="20"/>
                        </w:rPr>
                      </w:pPr>
                      <w:r w:rsidRPr="0056077F">
                        <w:rPr>
                          <w:rFonts w:ascii="Comic Sans MS" w:hAnsi="Comic Sans MS"/>
                          <w:sz w:val="20"/>
                          <w:szCs w:val="20"/>
                        </w:rPr>
                        <w:t>Queens College</w:t>
                      </w:r>
                      <w:r>
                        <w:rPr>
                          <w:rFonts w:ascii="Comic Sans MS" w:hAnsi="Comic Sans MS"/>
                          <w:sz w:val="20"/>
                          <w:szCs w:val="20"/>
                        </w:rPr>
                        <w:t>/</w:t>
                      </w:r>
                      <w:r w:rsidRPr="0056077F">
                        <w:rPr>
                          <w:rFonts w:ascii="Comic Sans MS" w:hAnsi="Comic Sans MS"/>
                          <w:sz w:val="20"/>
                          <w:szCs w:val="20"/>
                        </w:rPr>
                        <w:t>CUNY</w:t>
                      </w:r>
                      <w:r>
                        <w:rPr>
                          <w:rFonts w:ascii="Comic Sans MS" w:hAnsi="Comic Sans MS"/>
                          <w:sz w:val="20"/>
                          <w:szCs w:val="20"/>
                        </w:rPr>
                        <w:t xml:space="preserve"> Flushing, NY 11357</w:t>
                      </w:r>
                    </w:p>
                  </w:txbxContent>
                </v:textbox>
              </v:shape>
            </w:pict>
          </mc:Fallback>
        </mc:AlternateContent>
      </w:r>
      <w:r w:rsidR="0056077F">
        <w:rPr>
          <w:rFonts w:ascii="Arial" w:eastAsia="Times New Roman" w:hAnsi="Arial" w:cs="Arial"/>
          <w:color w:val="000000"/>
          <w:sz w:val="24"/>
          <w:szCs w:val="24"/>
        </w:rPr>
        <w:tab/>
      </w:r>
    </w:p>
    <w:p w:rsidR="009873B9" w:rsidRDefault="009873B9" w:rsidP="002457E3">
      <w:pPr>
        <w:spacing w:after="0" w:line="240" w:lineRule="auto"/>
        <w:rPr>
          <w:rFonts w:ascii="Arial" w:eastAsia="Times New Roman" w:hAnsi="Arial" w:cs="Arial"/>
          <w:color w:val="000000"/>
          <w:sz w:val="24"/>
          <w:szCs w:val="24"/>
        </w:rPr>
      </w:pPr>
    </w:p>
    <w:p w:rsidR="009873B9" w:rsidRPr="009873B9" w:rsidRDefault="009873B9" w:rsidP="009873B9">
      <w:pPr>
        <w:rPr>
          <w:rFonts w:ascii="Arial" w:eastAsia="Times New Roman" w:hAnsi="Arial" w:cs="Arial"/>
          <w:sz w:val="24"/>
          <w:szCs w:val="24"/>
        </w:rPr>
      </w:pPr>
    </w:p>
    <w:p w:rsidR="00C67031" w:rsidRPr="00C67031" w:rsidRDefault="009873B9" w:rsidP="009873B9">
      <w:pPr>
        <w:ind w:firstLine="720"/>
        <w:rPr>
          <w:rFonts w:ascii="Arial" w:eastAsia="Times New Roman" w:hAnsi="Arial" w:cs="Arial"/>
          <w:sz w:val="16"/>
          <w:szCs w:val="16"/>
        </w:rPr>
      </w:pPr>
      <w:r w:rsidRPr="009873B9">
        <w:rPr>
          <w:rFonts w:ascii="Arial" w:eastAsia="Times New Roman" w:hAnsi="Arial" w:cs="Arial"/>
          <w:sz w:val="24"/>
          <w:szCs w:val="24"/>
        </w:rPr>
        <w:tab/>
      </w:r>
    </w:p>
    <w:p w:rsidR="00C67031" w:rsidRPr="00C67031" w:rsidRDefault="00C67031" w:rsidP="00C67031">
      <w:pPr>
        <w:ind w:firstLine="720"/>
        <w:rPr>
          <w:rFonts w:ascii="Arial" w:eastAsia="Times New Roman" w:hAnsi="Arial" w:cs="Arial"/>
          <w:sz w:val="24"/>
          <w:szCs w:val="24"/>
        </w:rPr>
      </w:pPr>
      <w:r w:rsidRPr="00C67031">
        <w:rPr>
          <w:sz w:val="24"/>
          <w:szCs w:val="24"/>
        </w:rPr>
        <w:t>The 50</w:t>
      </w:r>
      <w:r w:rsidRPr="00C67031">
        <w:rPr>
          <w:sz w:val="24"/>
          <w:szCs w:val="24"/>
          <w:vertAlign w:val="superscript"/>
        </w:rPr>
        <w:t>th</w:t>
      </w:r>
      <w:r w:rsidRPr="00C67031">
        <w:rPr>
          <w:sz w:val="24"/>
          <w:szCs w:val="24"/>
        </w:rPr>
        <w:t xml:space="preserve"> anniversary of</w:t>
      </w:r>
      <w:r w:rsidRPr="00C67031">
        <w:rPr>
          <w:b/>
          <w:i/>
          <w:sz w:val="24"/>
          <w:szCs w:val="24"/>
        </w:rPr>
        <w:t xml:space="preserve"> Mississippi Freedom Summer 1964</w:t>
      </w:r>
      <w:r w:rsidR="00FA0695">
        <w:rPr>
          <w:sz w:val="24"/>
          <w:szCs w:val="24"/>
        </w:rPr>
        <w:t xml:space="preserve"> will be recognized</w:t>
      </w:r>
      <w:r w:rsidR="00AC79E2">
        <w:rPr>
          <w:sz w:val="24"/>
          <w:szCs w:val="24"/>
        </w:rPr>
        <w:t xml:space="preserve"> on campus</w:t>
      </w:r>
      <w:r w:rsidR="00FA0695">
        <w:rPr>
          <w:sz w:val="24"/>
          <w:szCs w:val="24"/>
        </w:rPr>
        <w:t xml:space="preserve"> during </w:t>
      </w:r>
      <w:r w:rsidRPr="00C67031">
        <w:rPr>
          <w:sz w:val="24"/>
          <w:szCs w:val="24"/>
        </w:rPr>
        <w:t xml:space="preserve"> QC’s </w:t>
      </w:r>
      <w:r w:rsidRPr="00166934">
        <w:rPr>
          <w:b/>
          <w:sz w:val="24"/>
          <w:szCs w:val="24"/>
        </w:rPr>
        <w:t>Spring 2014 Semester</w:t>
      </w:r>
      <w:r w:rsidRPr="00C67031">
        <w:rPr>
          <w:sz w:val="24"/>
          <w:szCs w:val="24"/>
        </w:rPr>
        <w:t>.  It was one moment in a still ongoing struggle, but it had special connections to Queens Co</w:t>
      </w:r>
      <w:r>
        <w:rPr>
          <w:sz w:val="24"/>
          <w:szCs w:val="24"/>
        </w:rPr>
        <w:t xml:space="preserve">llege. </w:t>
      </w:r>
      <w:r w:rsidRPr="00166934">
        <w:rPr>
          <w:b/>
          <w:sz w:val="24"/>
          <w:szCs w:val="24"/>
        </w:rPr>
        <w:t>Campus events are scheduled</w:t>
      </w:r>
      <w:r w:rsidRPr="00C67031">
        <w:rPr>
          <w:sz w:val="24"/>
          <w:szCs w:val="24"/>
        </w:rPr>
        <w:t>.  This is a preliminary announcement</w:t>
      </w:r>
      <w:r w:rsidR="00AD11C5">
        <w:rPr>
          <w:sz w:val="24"/>
          <w:szCs w:val="24"/>
        </w:rPr>
        <w:t xml:space="preserve"> and request </w:t>
      </w:r>
      <w:r w:rsidR="0015453D">
        <w:rPr>
          <w:sz w:val="24"/>
          <w:szCs w:val="24"/>
        </w:rPr>
        <w:t>to start planning to participate</w:t>
      </w:r>
      <w:r w:rsidRPr="00C67031">
        <w:rPr>
          <w:sz w:val="24"/>
          <w:szCs w:val="24"/>
        </w:rPr>
        <w:t>.</w:t>
      </w:r>
    </w:p>
    <w:p w:rsidR="00C67031" w:rsidRPr="00C67031" w:rsidRDefault="00C67031" w:rsidP="00C67031">
      <w:pPr>
        <w:spacing w:after="0"/>
        <w:ind w:firstLine="720"/>
        <w:rPr>
          <w:rFonts w:asciiTheme="minorHAnsi" w:eastAsiaTheme="minorHAnsi" w:hAnsiTheme="minorHAnsi" w:cstheme="minorBidi"/>
          <w:sz w:val="24"/>
          <w:szCs w:val="24"/>
        </w:rPr>
      </w:pPr>
      <w:r w:rsidRPr="00C67031">
        <w:rPr>
          <w:sz w:val="24"/>
          <w:szCs w:val="24"/>
        </w:rPr>
        <w:t xml:space="preserve">We hope </w:t>
      </w:r>
      <w:r w:rsidRPr="00C67031">
        <w:rPr>
          <w:sz w:val="24"/>
          <w:szCs w:val="24"/>
          <w:u w:val="single"/>
        </w:rPr>
        <w:t>you</w:t>
      </w:r>
      <w:r w:rsidRPr="00C67031">
        <w:rPr>
          <w:sz w:val="24"/>
          <w:szCs w:val="24"/>
        </w:rPr>
        <w:t xml:space="preserve"> can: </w:t>
      </w:r>
    </w:p>
    <w:p w:rsidR="00C67031" w:rsidRPr="00C67031" w:rsidRDefault="00C67031" w:rsidP="00C67031">
      <w:pPr>
        <w:spacing w:after="0"/>
        <w:ind w:left="720" w:firstLine="720"/>
        <w:rPr>
          <w:sz w:val="24"/>
          <w:szCs w:val="24"/>
        </w:rPr>
      </w:pPr>
      <w:r w:rsidRPr="00C67031">
        <w:rPr>
          <w:sz w:val="24"/>
          <w:szCs w:val="24"/>
        </w:rPr>
        <w:t xml:space="preserve">a) Integrate aspects of its story into your Spring Semester course work; </w:t>
      </w:r>
    </w:p>
    <w:p w:rsidR="00C67031" w:rsidRPr="00C67031" w:rsidRDefault="00C67031" w:rsidP="00C67031">
      <w:pPr>
        <w:spacing w:after="0"/>
        <w:ind w:left="720" w:firstLine="720"/>
        <w:rPr>
          <w:sz w:val="24"/>
          <w:szCs w:val="24"/>
        </w:rPr>
      </w:pPr>
      <w:r w:rsidRPr="00C67031">
        <w:rPr>
          <w:sz w:val="24"/>
          <w:szCs w:val="24"/>
        </w:rPr>
        <w:t xml:space="preserve">b) Bring and/or assign students to attend related campus events; </w:t>
      </w:r>
    </w:p>
    <w:p w:rsidR="00C67031" w:rsidRPr="00C67031" w:rsidRDefault="00C67031" w:rsidP="00C67031">
      <w:pPr>
        <w:spacing w:after="0"/>
        <w:ind w:left="720" w:firstLine="720"/>
        <w:rPr>
          <w:sz w:val="24"/>
          <w:szCs w:val="24"/>
        </w:rPr>
      </w:pPr>
      <w:r w:rsidRPr="00C67031">
        <w:rPr>
          <w:sz w:val="24"/>
          <w:szCs w:val="24"/>
        </w:rPr>
        <w:t>c) Sponsor additional activities of your own that are related to your department;</w:t>
      </w:r>
    </w:p>
    <w:p w:rsidR="00C67031" w:rsidRPr="00C67031" w:rsidRDefault="00C67031" w:rsidP="00C67031">
      <w:pPr>
        <w:spacing w:after="0"/>
        <w:ind w:left="1440"/>
        <w:rPr>
          <w:sz w:val="24"/>
          <w:szCs w:val="24"/>
        </w:rPr>
      </w:pPr>
      <w:r w:rsidRPr="00C67031">
        <w:rPr>
          <w:sz w:val="24"/>
          <w:szCs w:val="24"/>
        </w:rPr>
        <w:t xml:space="preserve">d) Not just commemorate an event from fifty years ago, but show </w:t>
      </w:r>
      <w:r w:rsidR="00AC79E2">
        <w:rPr>
          <w:sz w:val="24"/>
          <w:szCs w:val="24"/>
        </w:rPr>
        <w:t xml:space="preserve">the leadership role </w:t>
      </w:r>
      <w:r w:rsidR="00166934">
        <w:rPr>
          <w:sz w:val="24"/>
          <w:szCs w:val="24"/>
        </w:rPr>
        <w:t>that young people played in the Movement</w:t>
      </w:r>
      <w:r w:rsidR="00AC79E2">
        <w:rPr>
          <w:sz w:val="24"/>
          <w:szCs w:val="24"/>
        </w:rPr>
        <w:t xml:space="preserve"> and </w:t>
      </w:r>
      <w:r w:rsidRPr="00C67031">
        <w:rPr>
          <w:sz w:val="24"/>
          <w:szCs w:val="24"/>
        </w:rPr>
        <w:t>its connections to the issues of today.</w:t>
      </w:r>
    </w:p>
    <w:p w:rsidR="00C67031" w:rsidRPr="00C67031" w:rsidRDefault="00C67031" w:rsidP="00C67031">
      <w:pPr>
        <w:spacing w:after="0"/>
        <w:ind w:left="720" w:firstLine="720"/>
        <w:rPr>
          <w:sz w:val="16"/>
          <w:szCs w:val="16"/>
        </w:rPr>
      </w:pPr>
    </w:p>
    <w:p w:rsidR="00C67031" w:rsidRPr="00C67031" w:rsidRDefault="00C67031" w:rsidP="00C67031">
      <w:pPr>
        <w:spacing w:after="0"/>
        <w:ind w:firstLine="720"/>
        <w:rPr>
          <w:sz w:val="24"/>
          <w:szCs w:val="24"/>
        </w:rPr>
      </w:pPr>
      <w:r w:rsidRPr="00C67031">
        <w:rPr>
          <w:sz w:val="24"/>
          <w:szCs w:val="24"/>
        </w:rPr>
        <w:t>A number of QC students back in 1964 joined the summer project that came to be called “Freedom Summer” and travelled south to support the voting rights campaign and struggles against discrimination by local Mississippi civil rights groups.  Some came back, some sadly did not.  The Rosenthal Library Clock Tower commemorates that effort – and the loss of three young activists who were part of it.</w:t>
      </w:r>
    </w:p>
    <w:p w:rsidR="00C67031" w:rsidRPr="00C67031" w:rsidRDefault="00C67031" w:rsidP="00C67031">
      <w:pPr>
        <w:spacing w:after="0"/>
        <w:ind w:firstLine="720"/>
        <w:rPr>
          <w:sz w:val="16"/>
          <w:szCs w:val="16"/>
        </w:rPr>
      </w:pPr>
    </w:p>
    <w:p w:rsidR="00C67031" w:rsidRPr="00C67031" w:rsidRDefault="00C67031" w:rsidP="00C67031">
      <w:pPr>
        <w:ind w:firstLine="720"/>
        <w:rPr>
          <w:sz w:val="24"/>
          <w:szCs w:val="24"/>
        </w:rPr>
      </w:pPr>
      <w:r w:rsidRPr="00C67031">
        <w:rPr>
          <w:sz w:val="24"/>
          <w:szCs w:val="24"/>
        </w:rPr>
        <w:t xml:space="preserve">There will be </w:t>
      </w:r>
      <w:r w:rsidRPr="00C67031">
        <w:rPr>
          <w:b/>
          <w:sz w:val="24"/>
          <w:szCs w:val="24"/>
          <w:u w:val="single"/>
        </w:rPr>
        <w:t>two specific and special events</w:t>
      </w:r>
      <w:r w:rsidRPr="00C67031">
        <w:rPr>
          <w:sz w:val="24"/>
          <w:szCs w:val="24"/>
        </w:rPr>
        <w:t xml:space="preserve"> about Freedom Summer that we hope you can actively support:</w:t>
      </w:r>
    </w:p>
    <w:p w:rsidR="00C67031" w:rsidRPr="00C67031" w:rsidRDefault="00C67031" w:rsidP="00C67031">
      <w:pPr>
        <w:ind w:left="720" w:firstLine="720"/>
        <w:rPr>
          <w:sz w:val="24"/>
          <w:szCs w:val="24"/>
        </w:rPr>
      </w:pPr>
      <w:r w:rsidRPr="00C67031">
        <w:rPr>
          <w:sz w:val="24"/>
          <w:szCs w:val="24"/>
        </w:rPr>
        <w:t xml:space="preserve">1.  </w:t>
      </w:r>
      <w:r w:rsidRPr="00C67031">
        <w:rPr>
          <w:b/>
          <w:sz w:val="24"/>
          <w:szCs w:val="24"/>
        </w:rPr>
        <w:t xml:space="preserve">The </w:t>
      </w:r>
      <w:r w:rsidRPr="009B2D99">
        <w:rPr>
          <w:b/>
          <w:sz w:val="24"/>
          <w:szCs w:val="24"/>
          <w:u w:val="single"/>
        </w:rPr>
        <w:t xml:space="preserve">February </w:t>
      </w:r>
      <w:r w:rsidR="009B2D99" w:rsidRPr="009B2D99">
        <w:rPr>
          <w:b/>
          <w:sz w:val="24"/>
          <w:szCs w:val="24"/>
          <w:u w:val="single"/>
        </w:rPr>
        <w:t>23</w:t>
      </w:r>
      <w:r w:rsidR="009B2D99" w:rsidRPr="009B2D99">
        <w:rPr>
          <w:b/>
          <w:sz w:val="24"/>
          <w:szCs w:val="24"/>
          <w:u w:val="single"/>
          <w:vertAlign w:val="superscript"/>
        </w:rPr>
        <w:t>rd</w:t>
      </w:r>
      <w:r w:rsidR="009B2D99" w:rsidRPr="009B2D99">
        <w:rPr>
          <w:b/>
          <w:sz w:val="24"/>
          <w:szCs w:val="24"/>
          <w:u w:val="single"/>
        </w:rPr>
        <w:t xml:space="preserve"> and 24</w:t>
      </w:r>
      <w:r w:rsidR="009B2D99" w:rsidRPr="009B2D99">
        <w:rPr>
          <w:b/>
          <w:sz w:val="24"/>
          <w:szCs w:val="24"/>
          <w:u w:val="single"/>
          <w:vertAlign w:val="superscript"/>
        </w:rPr>
        <w:t>th</w:t>
      </w:r>
      <w:r w:rsidR="009B2D99">
        <w:rPr>
          <w:sz w:val="24"/>
          <w:szCs w:val="24"/>
        </w:rPr>
        <w:t xml:space="preserve"> </w:t>
      </w:r>
      <w:r w:rsidRPr="00C67031">
        <w:rPr>
          <w:sz w:val="24"/>
          <w:szCs w:val="24"/>
        </w:rPr>
        <w:t>performance</w:t>
      </w:r>
      <w:r w:rsidR="009B2D99">
        <w:rPr>
          <w:sz w:val="24"/>
          <w:szCs w:val="24"/>
        </w:rPr>
        <w:t xml:space="preserve">s </w:t>
      </w:r>
      <w:r w:rsidRPr="00C67031">
        <w:rPr>
          <w:sz w:val="24"/>
          <w:szCs w:val="24"/>
        </w:rPr>
        <w:t xml:space="preserve"> of a </w:t>
      </w:r>
      <w:r w:rsidRPr="00C67031">
        <w:rPr>
          <w:b/>
          <w:sz w:val="24"/>
          <w:szCs w:val="24"/>
          <w:u w:val="single"/>
        </w:rPr>
        <w:t>play called “Freedom High</w:t>
      </w:r>
      <w:r w:rsidRPr="00C67031">
        <w:rPr>
          <w:b/>
          <w:sz w:val="24"/>
          <w:szCs w:val="24"/>
        </w:rPr>
        <w:t>”</w:t>
      </w:r>
      <w:r w:rsidRPr="00C67031">
        <w:rPr>
          <w:sz w:val="24"/>
          <w:szCs w:val="24"/>
        </w:rPr>
        <w:t xml:space="preserve"> – written by playwright Adam Kraar, produced and directed by Prof. Susan Einhorn, </w:t>
      </w:r>
      <w:r w:rsidR="009B2D99">
        <w:rPr>
          <w:sz w:val="24"/>
          <w:szCs w:val="24"/>
        </w:rPr>
        <w:t xml:space="preserve">acted using </w:t>
      </w:r>
      <w:r w:rsidRPr="00C67031">
        <w:rPr>
          <w:sz w:val="24"/>
          <w:szCs w:val="24"/>
        </w:rPr>
        <w:t>current QC students and alumni – is set at one of orientation sessions as the volunteers are being prepared to go to Mississippi and the “disappearance” of Goodman, Chaney, and Schwerner is dramatically announced.  The volunteers and local activists have to deal with strong feelings and complex choices.  The performances are co-sponsored by CERRU and Jewish Studies.  A panel discussion will follow.</w:t>
      </w:r>
    </w:p>
    <w:p w:rsidR="00C67031" w:rsidRPr="00C67031" w:rsidRDefault="00C67031" w:rsidP="00C67031">
      <w:pPr>
        <w:ind w:left="720" w:firstLine="720"/>
        <w:rPr>
          <w:sz w:val="24"/>
          <w:szCs w:val="24"/>
        </w:rPr>
      </w:pPr>
      <w:r w:rsidRPr="00C67031">
        <w:rPr>
          <w:sz w:val="24"/>
          <w:szCs w:val="24"/>
        </w:rPr>
        <w:lastRenderedPageBreak/>
        <w:t xml:space="preserve">2.  </w:t>
      </w:r>
      <w:r w:rsidR="009B2D99">
        <w:rPr>
          <w:b/>
          <w:sz w:val="24"/>
          <w:szCs w:val="24"/>
        </w:rPr>
        <w:t>O</w:t>
      </w:r>
      <w:r w:rsidRPr="00C67031">
        <w:rPr>
          <w:b/>
          <w:sz w:val="24"/>
          <w:szCs w:val="24"/>
        </w:rPr>
        <w:t xml:space="preserve">n </w:t>
      </w:r>
      <w:r w:rsidRPr="00C67031">
        <w:rPr>
          <w:b/>
          <w:sz w:val="24"/>
          <w:szCs w:val="24"/>
          <w:u w:val="single"/>
        </w:rPr>
        <w:t>March</w:t>
      </w:r>
      <w:r w:rsidR="009B2D99">
        <w:rPr>
          <w:b/>
          <w:sz w:val="24"/>
          <w:szCs w:val="24"/>
          <w:u w:val="single"/>
        </w:rPr>
        <w:t xml:space="preserve"> 13th</w:t>
      </w:r>
      <w:r w:rsidRPr="00C67031">
        <w:rPr>
          <w:sz w:val="24"/>
          <w:szCs w:val="24"/>
        </w:rPr>
        <w:t xml:space="preserve">, QC will be hosting a preview performance and talk by award-winning documentarian Stanley Nelson who just completed </w:t>
      </w:r>
      <w:r w:rsidRPr="00C67031">
        <w:rPr>
          <w:b/>
          <w:sz w:val="24"/>
          <w:szCs w:val="24"/>
          <w:u w:val="single"/>
        </w:rPr>
        <w:t>a new PBS film -- “Freedom Summer”</w:t>
      </w:r>
      <w:r w:rsidRPr="00C67031">
        <w:rPr>
          <w:sz w:val="24"/>
          <w:szCs w:val="24"/>
        </w:rPr>
        <w:t xml:space="preserve"> – which will be aired on TV in June.  (Nelson made the powerful documentary a few years ago about the Freedom Riders.)</w:t>
      </w:r>
    </w:p>
    <w:p w:rsidR="00C67031" w:rsidRPr="00C67031" w:rsidRDefault="00C67031" w:rsidP="00C67031">
      <w:pPr>
        <w:rPr>
          <w:sz w:val="24"/>
          <w:szCs w:val="24"/>
        </w:rPr>
      </w:pPr>
      <w:r w:rsidRPr="00C67031">
        <w:rPr>
          <w:sz w:val="24"/>
          <w:szCs w:val="24"/>
        </w:rPr>
        <w:tab/>
        <w:t xml:space="preserve">Two preliminary notes:  </w:t>
      </w:r>
      <w:r w:rsidRPr="00C67031">
        <w:rPr>
          <w:b/>
          <w:sz w:val="24"/>
          <w:szCs w:val="24"/>
        </w:rPr>
        <w:t>A)</w:t>
      </w:r>
      <w:r w:rsidRPr="00C67031">
        <w:rPr>
          <w:sz w:val="24"/>
          <w:szCs w:val="24"/>
        </w:rPr>
        <w:t xml:space="preserve"> Experiences last semester with several events showed that faculty integration of materials and/or assignment of attendance made a significant difference to the success of the event, so we are really counting on you; </w:t>
      </w:r>
      <w:r w:rsidR="009B2D99">
        <w:rPr>
          <w:sz w:val="24"/>
          <w:szCs w:val="24"/>
        </w:rPr>
        <w:t xml:space="preserve"> </w:t>
      </w:r>
      <w:r w:rsidRPr="00C67031">
        <w:rPr>
          <w:b/>
          <w:sz w:val="24"/>
          <w:szCs w:val="24"/>
        </w:rPr>
        <w:t>B)</w:t>
      </w:r>
      <w:r w:rsidRPr="00C67031">
        <w:rPr>
          <w:sz w:val="24"/>
          <w:szCs w:val="24"/>
        </w:rPr>
        <w:t xml:space="preserve"> Black History Month’s calendar will be filled with a number of ot</w:t>
      </w:r>
      <w:r w:rsidR="009B2D99">
        <w:rPr>
          <w:sz w:val="24"/>
          <w:szCs w:val="24"/>
        </w:rPr>
        <w:t>her civil-rights related events. W</w:t>
      </w:r>
      <w:r w:rsidRPr="00C67031">
        <w:rPr>
          <w:sz w:val="24"/>
          <w:szCs w:val="24"/>
        </w:rPr>
        <w:t>e will sh</w:t>
      </w:r>
      <w:r w:rsidR="009B2D99">
        <w:rPr>
          <w:sz w:val="24"/>
          <w:szCs w:val="24"/>
        </w:rPr>
        <w:t>are that info and about April events with you soon</w:t>
      </w:r>
      <w:r w:rsidRPr="00C67031">
        <w:rPr>
          <w:sz w:val="24"/>
          <w:szCs w:val="24"/>
        </w:rPr>
        <w:t>.</w:t>
      </w:r>
    </w:p>
    <w:p w:rsidR="00C67031" w:rsidRPr="00C67031" w:rsidRDefault="00C67031" w:rsidP="00C67031">
      <w:pPr>
        <w:rPr>
          <w:sz w:val="24"/>
          <w:szCs w:val="24"/>
        </w:rPr>
      </w:pPr>
      <w:r w:rsidRPr="00C67031">
        <w:rPr>
          <w:sz w:val="24"/>
          <w:szCs w:val="24"/>
        </w:rPr>
        <w:tab/>
        <w:t xml:space="preserve">In December and January of 1964, SNCC and other civil rights groups made the decision to have a Summer Project in Mississippi that would include voting rights campaigns, freedom schools, community centers, and other related efforts. In a matter of a very few short months, they had to: a) recruit, select and train 1,000 volunteers (students, ministers, lawyers, doctors and nurses, musicians, actors, etc.); b) organize support in the North to turn the political and media spotlight on the state </w:t>
      </w:r>
      <w:r w:rsidR="009B2D99">
        <w:rPr>
          <w:sz w:val="24"/>
          <w:szCs w:val="24"/>
        </w:rPr>
        <w:t xml:space="preserve">of </w:t>
      </w:r>
      <w:r w:rsidRPr="00C67031">
        <w:rPr>
          <w:sz w:val="24"/>
          <w:szCs w:val="24"/>
        </w:rPr>
        <w:t xml:space="preserve">Mississippi and give material </w:t>
      </w:r>
      <w:r w:rsidR="009B2D99">
        <w:rPr>
          <w:sz w:val="24"/>
          <w:szCs w:val="24"/>
        </w:rPr>
        <w:t xml:space="preserve">and financial </w:t>
      </w:r>
      <w:r w:rsidRPr="00C67031">
        <w:rPr>
          <w:sz w:val="24"/>
          <w:szCs w:val="24"/>
        </w:rPr>
        <w:t>support to those working in the state; c) find local homes, churches, and other places where the volunteers could eat, sleep, and work; d) devise communication and security systems for thi</w:t>
      </w:r>
      <w:r w:rsidR="00FD41AF">
        <w:rPr>
          <w:sz w:val="24"/>
          <w:szCs w:val="24"/>
        </w:rPr>
        <w:t>s ambitious project.  The activists</w:t>
      </w:r>
      <w:r w:rsidRPr="00C67031">
        <w:rPr>
          <w:sz w:val="24"/>
          <w:szCs w:val="24"/>
        </w:rPr>
        <w:t xml:space="preserve"> </w:t>
      </w:r>
      <w:r>
        <w:rPr>
          <w:sz w:val="24"/>
          <w:szCs w:val="24"/>
        </w:rPr>
        <w:t xml:space="preserve">who </w:t>
      </w:r>
      <w:r w:rsidRPr="00C67031">
        <w:rPr>
          <w:sz w:val="24"/>
          <w:szCs w:val="24"/>
        </w:rPr>
        <w:t>organized and led all of this, it is critical to remember and emphasize with our classes</w:t>
      </w:r>
      <w:r w:rsidRPr="00C67031">
        <w:rPr>
          <w:b/>
          <w:sz w:val="24"/>
          <w:szCs w:val="24"/>
        </w:rPr>
        <w:t xml:space="preserve">, </w:t>
      </w:r>
      <w:r w:rsidRPr="00C67031">
        <w:rPr>
          <w:b/>
          <w:sz w:val="24"/>
          <w:szCs w:val="24"/>
          <w:u w:val="single"/>
        </w:rPr>
        <w:t>were in their late-teens and early-20’s</w:t>
      </w:r>
      <w:r w:rsidRPr="00C67031">
        <w:rPr>
          <w:b/>
          <w:sz w:val="24"/>
          <w:szCs w:val="24"/>
        </w:rPr>
        <w:t xml:space="preserve">! </w:t>
      </w:r>
      <w:r w:rsidRPr="00C67031">
        <w:rPr>
          <w:sz w:val="24"/>
          <w:szCs w:val="24"/>
        </w:rPr>
        <w:t xml:space="preserve"> Quite a lesson</w:t>
      </w:r>
      <w:r w:rsidR="00FD41AF">
        <w:rPr>
          <w:sz w:val="24"/>
          <w:szCs w:val="24"/>
        </w:rPr>
        <w:t xml:space="preserve"> and example</w:t>
      </w:r>
      <w:r w:rsidRPr="00C67031">
        <w:rPr>
          <w:sz w:val="24"/>
          <w:szCs w:val="24"/>
        </w:rPr>
        <w:t xml:space="preserve"> for our students, in itself.</w:t>
      </w:r>
    </w:p>
    <w:p w:rsidR="00C67031" w:rsidRPr="00C67031" w:rsidRDefault="00C67031" w:rsidP="00C67031">
      <w:pPr>
        <w:rPr>
          <w:sz w:val="24"/>
          <w:szCs w:val="24"/>
        </w:rPr>
      </w:pPr>
      <w:r w:rsidRPr="00C67031">
        <w:rPr>
          <w:sz w:val="24"/>
          <w:szCs w:val="24"/>
        </w:rPr>
        <w:tab/>
        <w:t xml:space="preserve">We will send you dates, times and locations of events soon.  </w:t>
      </w:r>
    </w:p>
    <w:p w:rsidR="00C67031" w:rsidRDefault="00C67031" w:rsidP="00C67031">
      <w:pPr>
        <w:rPr>
          <w:sz w:val="24"/>
          <w:szCs w:val="24"/>
        </w:rPr>
      </w:pPr>
      <w:r w:rsidRPr="00C67031">
        <w:rPr>
          <w:sz w:val="24"/>
          <w:szCs w:val="24"/>
        </w:rPr>
        <w:tab/>
      </w:r>
      <w:r w:rsidRPr="00C67031">
        <w:rPr>
          <w:b/>
          <w:sz w:val="24"/>
          <w:szCs w:val="24"/>
        </w:rPr>
        <w:t>PS</w:t>
      </w:r>
      <w:r w:rsidRPr="00C67031">
        <w:rPr>
          <w:sz w:val="24"/>
          <w:szCs w:val="24"/>
        </w:rPr>
        <w:t xml:space="preserve"> -- If you and/or your department want to initiate and sponsor another event, invite a speaker to a class or discuss recommendations for readings, videos, music, etc., or help co-sponsor one of the events mentio</w:t>
      </w:r>
      <w:r>
        <w:rPr>
          <w:sz w:val="24"/>
          <w:szCs w:val="24"/>
        </w:rPr>
        <w:t>ned above, contact Mark Levy at</w:t>
      </w:r>
      <w:r w:rsidRPr="00C67031">
        <w:rPr>
          <w:sz w:val="24"/>
          <w:szCs w:val="24"/>
        </w:rPr>
        <w:t xml:space="preserve"> </w:t>
      </w:r>
      <w:hyperlink r:id="rId11" w:history="1">
        <w:r w:rsidRPr="00C67031">
          <w:rPr>
            <w:rStyle w:val="Hyperlink"/>
            <w:b/>
            <w:sz w:val="24"/>
            <w:szCs w:val="24"/>
          </w:rPr>
          <w:t>mlevy697@earthlink.net</w:t>
        </w:r>
      </w:hyperlink>
      <w:r w:rsidRPr="00C67031">
        <w:rPr>
          <w:sz w:val="24"/>
          <w:szCs w:val="24"/>
        </w:rPr>
        <w:t xml:space="preserve"> </w:t>
      </w:r>
    </w:p>
    <w:p w:rsidR="005756E7" w:rsidRDefault="005756E7" w:rsidP="005756E7">
      <w:pPr>
        <w:rPr>
          <w:rFonts w:ascii="Arial" w:eastAsia="Times New Roman" w:hAnsi="Arial" w:cs="Arial"/>
          <w:sz w:val="18"/>
          <w:szCs w:val="18"/>
        </w:rPr>
      </w:pPr>
    </w:p>
    <w:p w:rsidR="005756E7" w:rsidRPr="005756E7" w:rsidRDefault="005756E7" w:rsidP="005756E7">
      <w:pPr>
        <w:rPr>
          <w:rFonts w:ascii="Arial" w:eastAsia="Times New Roman" w:hAnsi="Arial" w:cs="Arial"/>
          <w:sz w:val="18"/>
          <w:szCs w:val="18"/>
        </w:rPr>
      </w:pPr>
      <w:r w:rsidRPr="005756E7">
        <w:rPr>
          <w:rFonts w:ascii="Arial" w:eastAsia="Times New Roman" w:hAnsi="Arial" w:cs="Arial"/>
          <w:sz w:val="18"/>
          <w:szCs w:val="18"/>
        </w:rPr>
        <w:t xml:space="preserve">***  (Art above by </w:t>
      </w:r>
      <w:r>
        <w:rPr>
          <w:rFonts w:ascii="Arial" w:eastAsia="Times New Roman" w:hAnsi="Arial" w:cs="Arial"/>
          <w:sz w:val="18"/>
          <w:szCs w:val="18"/>
        </w:rPr>
        <w:t xml:space="preserve">QC design instructor </w:t>
      </w:r>
      <w:r w:rsidRPr="005756E7">
        <w:rPr>
          <w:rFonts w:ascii="Arial" w:eastAsia="Times New Roman" w:hAnsi="Arial" w:cs="Arial"/>
          <w:sz w:val="18"/>
          <w:szCs w:val="18"/>
        </w:rPr>
        <w:t>Ryan Smith and two of his students.)</w:t>
      </w:r>
    </w:p>
    <w:p w:rsidR="005756E7" w:rsidRPr="00C67031" w:rsidRDefault="005756E7" w:rsidP="00C67031">
      <w:pPr>
        <w:rPr>
          <w:sz w:val="24"/>
          <w:szCs w:val="24"/>
        </w:rPr>
      </w:pPr>
    </w:p>
    <w:sectPr w:rsidR="005756E7" w:rsidRPr="00C67031" w:rsidSect="00BE20C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91" w:rsidRDefault="00127E91" w:rsidP="00097829">
      <w:pPr>
        <w:spacing w:after="0" w:line="240" w:lineRule="auto"/>
      </w:pPr>
      <w:r>
        <w:separator/>
      </w:r>
    </w:p>
  </w:endnote>
  <w:endnote w:type="continuationSeparator" w:id="0">
    <w:p w:rsidR="00127E91" w:rsidRDefault="00127E91" w:rsidP="0009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29" w:rsidRPr="005C3500" w:rsidRDefault="005C3500" w:rsidP="005C3500">
    <w:pPr>
      <w:pStyle w:val="Footer"/>
      <w:jc w:val="center"/>
      <w:rPr>
        <w:sz w:val="28"/>
      </w:rPr>
    </w:pPr>
    <w:r w:rsidRPr="005C3500">
      <w:rPr>
        <w:rFonts w:ascii="Verdana" w:eastAsia="Times New Roman" w:hAnsi="Verdana"/>
        <w:i/>
        <w:iCs/>
        <w:color w:val="000000"/>
        <w:sz w:val="16"/>
      </w:rPr>
      <w:t>Queens College motto: “Discimus ut serviamus: We learn so we may serve”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91" w:rsidRDefault="00127E91" w:rsidP="00097829">
      <w:pPr>
        <w:spacing w:after="0" w:line="240" w:lineRule="auto"/>
      </w:pPr>
      <w:r>
        <w:separator/>
      </w:r>
    </w:p>
  </w:footnote>
  <w:footnote w:type="continuationSeparator" w:id="0">
    <w:p w:rsidR="00127E91" w:rsidRDefault="00127E91" w:rsidP="00097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70AF6"/>
    <w:multiLevelType w:val="hybridMultilevel"/>
    <w:tmpl w:val="DF38273A"/>
    <w:lvl w:ilvl="0" w:tplc="35E4FA9E">
      <w:start w:val="1"/>
      <w:numFmt w:val="bullet"/>
      <w:lvlText w:val=""/>
      <w:lvlJc w:val="left"/>
      <w:pPr>
        <w:ind w:left="720" w:hanging="360"/>
      </w:pPr>
      <w:rPr>
        <w:rFonts w:ascii="Symbol" w:hAnsi="Symbol" w:hint="default"/>
        <w:color w:val="0D0D0D"/>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97A7F"/>
    <w:multiLevelType w:val="hybridMultilevel"/>
    <w:tmpl w:val="FBB04AC4"/>
    <w:lvl w:ilvl="0" w:tplc="B03C8B1A">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B5C77"/>
    <w:multiLevelType w:val="hybridMultilevel"/>
    <w:tmpl w:val="3BE6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46092B"/>
    <w:multiLevelType w:val="multilevel"/>
    <w:tmpl w:val="44BC6468"/>
    <w:lvl w:ilvl="0">
      <w:start w:val="1"/>
      <w:numFmt w:val="bullet"/>
      <w:lvlText w:val=""/>
      <w:lvlJc w:val="left"/>
      <w:pPr>
        <w:tabs>
          <w:tab w:val="num" w:pos="720"/>
        </w:tabs>
        <w:ind w:left="720" w:hanging="360"/>
      </w:pPr>
      <w:rPr>
        <w:rFonts w:ascii="Symbol" w:hAnsi="Symbol" w:hint="default"/>
        <w:color w:val="0D0D0D"/>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1626E1"/>
    <w:multiLevelType w:val="hybridMultilevel"/>
    <w:tmpl w:val="7592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C74888"/>
    <w:multiLevelType w:val="multilevel"/>
    <w:tmpl w:val="41EA0E8E"/>
    <w:lvl w:ilvl="0">
      <w:start w:val="1"/>
      <w:numFmt w:val="bullet"/>
      <w:lvlText w:val=""/>
      <w:lvlJc w:val="left"/>
      <w:pPr>
        <w:tabs>
          <w:tab w:val="num" w:pos="720"/>
        </w:tabs>
        <w:ind w:left="720" w:hanging="360"/>
      </w:pPr>
      <w:rPr>
        <w:rFonts w:ascii="Symbol" w:hAnsi="Symbol" w:hint="default"/>
        <w:color w:val="0D0D0D"/>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8paoVN6hBzY9uMZAjyfDhlGWk74=" w:salt="Ok0OWbJPu0tRZF18iqx2t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8F4"/>
    <w:rsid w:val="000024B5"/>
    <w:rsid w:val="000061B4"/>
    <w:rsid w:val="0002700B"/>
    <w:rsid w:val="00064670"/>
    <w:rsid w:val="000660D3"/>
    <w:rsid w:val="0008317E"/>
    <w:rsid w:val="00086A51"/>
    <w:rsid w:val="00094B90"/>
    <w:rsid w:val="00097829"/>
    <w:rsid w:val="000A64F4"/>
    <w:rsid w:val="000C0521"/>
    <w:rsid w:val="000D03E4"/>
    <w:rsid w:val="00127E91"/>
    <w:rsid w:val="00151A84"/>
    <w:rsid w:val="00151CB5"/>
    <w:rsid w:val="00153384"/>
    <w:rsid w:val="0015453D"/>
    <w:rsid w:val="00155ABB"/>
    <w:rsid w:val="00156459"/>
    <w:rsid w:val="0016568B"/>
    <w:rsid w:val="00166934"/>
    <w:rsid w:val="00181365"/>
    <w:rsid w:val="001B2727"/>
    <w:rsid w:val="001F1606"/>
    <w:rsid w:val="001F3C35"/>
    <w:rsid w:val="00220142"/>
    <w:rsid w:val="00235255"/>
    <w:rsid w:val="00244BB7"/>
    <w:rsid w:val="002457E3"/>
    <w:rsid w:val="00267F6C"/>
    <w:rsid w:val="002743AA"/>
    <w:rsid w:val="00297839"/>
    <w:rsid w:val="002A6146"/>
    <w:rsid w:val="002F0569"/>
    <w:rsid w:val="00334230"/>
    <w:rsid w:val="0034591E"/>
    <w:rsid w:val="00364D53"/>
    <w:rsid w:val="00367EC3"/>
    <w:rsid w:val="00371FEE"/>
    <w:rsid w:val="00385DC4"/>
    <w:rsid w:val="00394ABF"/>
    <w:rsid w:val="003B72FF"/>
    <w:rsid w:val="00403BA1"/>
    <w:rsid w:val="004311EB"/>
    <w:rsid w:val="004321D1"/>
    <w:rsid w:val="0046184A"/>
    <w:rsid w:val="00487C0F"/>
    <w:rsid w:val="0049124F"/>
    <w:rsid w:val="004B472C"/>
    <w:rsid w:val="004E1B1E"/>
    <w:rsid w:val="00544682"/>
    <w:rsid w:val="0056077F"/>
    <w:rsid w:val="005756E7"/>
    <w:rsid w:val="00582332"/>
    <w:rsid w:val="005C3500"/>
    <w:rsid w:val="005C5886"/>
    <w:rsid w:val="005C7DF7"/>
    <w:rsid w:val="005D17B9"/>
    <w:rsid w:val="005D1B71"/>
    <w:rsid w:val="005E260C"/>
    <w:rsid w:val="005E277B"/>
    <w:rsid w:val="0060063F"/>
    <w:rsid w:val="00622601"/>
    <w:rsid w:val="00622C0A"/>
    <w:rsid w:val="006514CA"/>
    <w:rsid w:val="0065337A"/>
    <w:rsid w:val="006B3F25"/>
    <w:rsid w:val="006B5042"/>
    <w:rsid w:val="006E75C7"/>
    <w:rsid w:val="006E7DE3"/>
    <w:rsid w:val="006F1E59"/>
    <w:rsid w:val="007A50B4"/>
    <w:rsid w:val="007A517B"/>
    <w:rsid w:val="007C57DB"/>
    <w:rsid w:val="007D221D"/>
    <w:rsid w:val="007D3AE4"/>
    <w:rsid w:val="007E2832"/>
    <w:rsid w:val="007F1CAE"/>
    <w:rsid w:val="007F4718"/>
    <w:rsid w:val="00801248"/>
    <w:rsid w:val="008241A7"/>
    <w:rsid w:val="00824B35"/>
    <w:rsid w:val="00825CB1"/>
    <w:rsid w:val="00825CEB"/>
    <w:rsid w:val="00834706"/>
    <w:rsid w:val="008407EB"/>
    <w:rsid w:val="00844148"/>
    <w:rsid w:val="00864F7D"/>
    <w:rsid w:val="008A4F22"/>
    <w:rsid w:val="008D1307"/>
    <w:rsid w:val="008D4AC6"/>
    <w:rsid w:val="008E3AC3"/>
    <w:rsid w:val="008F0958"/>
    <w:rsid w:val="00913CAB"/>
    <w:rsid w:val="00915940"/>
    <w:rsid w:val="009206D2"/>
    <w:rsid w:val="00930674"/>
    <w:rsid w:val="0093476D"/>
    <w:rsid w:val="0095012E"/>
    <w:rsid w:val="00955570"/>
    <w:rsid w:val="009715EE"/>
    <w:rsid w:val="00972F34"/>
    <w:rsid w:val="00976F16"/>
    <w:rsid w:val="00983BC9"/>
    <w:rsid w:val="009861C3"/>
    <w:rsid w:val="009873B9"/>
    <w:rsid w:val="009A1630"/>
    <w:rsid w:val="009B2D99"/>
    <w:rsid w:val="009B40BE"/>
    <w:rsid w:val="009E569D"/>
    <w:rsid w:val="009E7078"/>
    <w:rsid w:val="00A01904"/>
    <w:rsid w:val="00A01982"/>
    <w:rsid w:val="00A2448D"/>
    <w:rsid w:val="00A27B38"/>
    <w:rsid w:val="00A42D65"/>
    <w:rsid w:val="00A46776"/>
    <w:rsid w:val="00A51411"/>
    <w:rsid w:val="00A80069"/>
    <w:rsid w:val="00A93D0E"/>
    <w:rsid w:val="00A946A8"/>
    <w:rsid w:val="00A94924"/>
    <w:rsid w:val="00A95019"/>
    <w:rsid w:val="00A977D8"/>
    <w:rsid w:val="00AB5227"/>
    <w:rsid w:val="00AB779E"/>
    <w:rsid w:val="00AC55C0"/>
    <w:rsid w:val="00AC79E2"/>
    <w:rsid w:val="00AD11C5"/>
    <w:rsid w:val="00B10654"/>
    <w:rsid w:val="00B23A33"/>
    <w:rsid w:val="00B30F23"/>
    <w:rsid w:val="00B33DE8"/>
    <w:rsid w:val="00B65DA2"/>
    <w:rsid w:val="00BA0EF1"/>
    <w:rsid w:val="00BA6A5F"/>
    <w:rsid w:val="00BD15A0"/>
    <w:rsid w:val="00BE197F"/>
    <w:rsid w:val="00BE20CB"/>
    <w:rsid w:val="00C00AC6"/>
    <w:rsid w:val="00C21F4B"/>
    <w:rsid w:val="00C26BD8"/>
    <w:rsid w:val="00C364A9"/>
    <w:rsid w:val="00C55B91"/>
    <w:rsid w:val="00C5751E"/>
    <w:rsid w:val="00C67031"/>
    <w:rsid w:val="00C9021A"/>
    <w:rsid w:val="00CD5C0C"/>
    <w:rsid w:val="00CF2F4C"/>
    <w:rsid w:val="00D248F4"/>
    <w:rsid w:val="00D46A30"/>
    <w:rsid w:val="00D531FE"/>
    <w:rsid w:val="00D77EEC"/>
    <w:rsid w:val="00D82DAB"/>
    <w:rsid w:val="00D92371"/>
    <w:rsid w:val="00D96938"/>
    <w:rsid w:val="00D97F4A"/>
    <w:rsid w:val="00DA6905"/>
    <w:rsid w:val="00DF58AB"/>
    <w:rsid w:val="00E215AA"/>
    <w:rsid w:val="00E34625"/>
    <w:rsid w:val="00E521E9"/>
    <w:rsid w:val="00E528DF"/>
    <w:rsid w:val="00E551CD"/>
    <w:rsid w:val="00E6477F"/>
    <w:rsid w:val="00E8010F"/>
    <w:rsid w:val="00EC480E"/>
    <w:rsid w:val="00F2686C"/>
    <w:rsid w:val="00F30B7D"/>
    <w:rsid w:val="00F4266B"/>
    <w:rsid w:val="00F83AD0"/>
    <w:rsid w:val="00F86C9B"/>
    <w:rsid w:val="00F970CB"/>
    <w:rsid w:val="00FA0695"/>
    <w:rsid w:val="00FD3141"/>
    <w:rsid w:val="00FD41AF"/>
    <w:rsid w:val="00FD7393"/>
    <w:rsid w:val="00FE2A7F"/>
    <w:rsid w:val="00FE4BC8"/>
    <w:rsid w:val="00FF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8F4"/>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097829"/>
    <w:pPr>
      <w:tabs>
        <w:tab w:val="center" w:pos="4680"/>
        <w:tab w:val="right" w:pos="9360"/>
      </w:tabs>
    </w:pPr>
  </w:style>
  <w:style w:type="character" w:customStyle="1" w:styleId="HeaderChar">
    <w:name w:val="Header Char"/>
    <w:basedOn w:val="DefaultParagraphFont"/>
    <w:link w:val="Header"/>
    <w:uiPriority w:val="99"/>
    <w:rsid w:val="00097829"/>
    <w:rPr>
      <w:sz w:val="22"/>
      <w:szCs w:val="22"/>
    </w:rPr>
  </w:style>
  <w:style w:type="paragraph" w:styleId="Footer">
    <w:name w:val="footer"/>
    <w:basedOn w:val="Normal"/>
    <w:link w:val="FooterChar"/>
    <w:uiPriority w:val="99"/>
    <w:unhideWhenUsed/>
    <w:rsid w:val="00097829"/>
    <w:pPr>
      <w:tabs>
        <w:tab w:val="center" w:pos="4680"/>
        <w:tab w:val="right" w:pos="9360"/>
      </w:tabs>
    </w:pPr>
  </w:style>
  <w:style w:type="character" w:customStyle="1" w:styleId="FooterChar">
    <w:name w:val="Footer Char"/>
    <w:basedOn w:val="DefaultParagraphFont"/>
    <w:link w:val="Footer"/>
    <w:uiPriority w:val="99"/>
    <w:rsid w:val="00097829"/>
    <w:rPr>
      <w:sz w:val="22"/>
      <w:szCs w:val="22"/>
    </w:rPr>
  </w:style>
  <w:style w:type="paragraph" w:styleId="BalloonText">
    <w:name w:val="Balloon Text"/>
    <w:basedOn w:val="Normal"/>
    <w:link w:val="BalloonTextChar"/>
    <w:uiPriority w:val="99"/>
    <w:semiHidden/>
    <w:unhideWhenUsed/>
    <w:rsid w:val="00560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77F"/>
    <w:rPr>
      <w:rFonts w:ascii="Tahoma" w:hAnsi="Tahoma" w:cs="Tahoma"/>
      <w:sz w:val="16"/>
      <w:szCs w:val="16"/>
    </w:rPr>
  </w:style>
  <w:style w:type="character" w:styleId="Hyperlink">
    <w:name w:val="Hyperlink"/>
    <w:basedOn w:val="DefaultParagraphFont"/>
    <w:uiPriority w:val="99"/>
    <w:unhideWhenUsed/>
    <w:rsid w:val="00824B35"/>
    <w:rPr>
      <w:color w:val="0000FF"/>
      <w:u w:val="single"/>
    </w:rPr>
  </w:style>
  <w:style w:type="character" w:customStyle="1" w:styleId="qcpullquotebody">
    <w:name w:val="qc_pullquotebody"/>
    <w:basedOn w:val="DefaultParagraphFont"/>
    <w:rsid w:val="005C3500"/>
  </w:style>
  <w:style w:type="character" w:styleId="Emphasis">
    <w:name w:val="Emphasis"/>
    <w:basedOn w:val="DefaultParagraphFont"/>
    <w:uiPriority w:val="20"/>
    <w:qFormat/>
    <w:rsid w:val="005C35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8F4"/>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097829"/>
    <w:pPr>
      <w:tabs>
        <w:tab w:val="center" w:pos="4680"/>
        <w:tab w:val="right" w:pos="9360"/>
      </w:tabs>
    </w:pPr>
  </w:style>
  <w:style w:type="character" w:customStyle="1" w:styleId="HeaderChar">
    <w:name w:val="Header Char"/>
    <w:basedOn w:val="DefaultParagraphFont"/>
    <w:link w:val="Header"/>
    <w:uiPriority w:val="99"/>
    <w:rsid w:val="00097829"/>
    <w:rPr>
      <w:sz w:val="22"/>
      <w:szCs w:val="22"/>
    </w:rPr>
  </w:style>
  <w:style w:type="paragraph" w:styleId="Footer">
    <w:name w:val="footer"/>
    <w:basedOn w:val="Normal"/>
    <w:link w:val="FooterChar"/>
    <w:uiPriority w:val="99"/>
    <w:unhideWhenUsed/>
    <w:rsid w:val="00097829"/>
    <w:pPr>
      <w:tabs>
        <w:tab w:val="center" w:pos="4680"/>
        <w:tab w:val="right" w:pos="9360"/>
      </w:tabs>
    </w:pPr>
  </w:style>
  <w:style w:type="character" w:customStyle="1" w:styleId="FooterChar">
    <w:name w:val="Footer Char"/>
    <w:basedOn w:val="DefaultParagraphFont"/>
    <w:link w:val="Footer"/>
    <w:uiPriority w:val="99"/>
    <w:rsid w:val="00097829"/>
    <w:rPr>
      <w:sz w:val="22"/>
      <w:szCs w:val="22"/>
    </w:rPr>
  </w:style>
  <w:style w:type="paragraph" w:styleId="BalloonText">
    <w:name w:val="Balloon Text"/>
    <w:basedOn w:val="Normal"/>
    <w:link w:val="BalloonTextChar"/>
    <w:uiPriority w:val="99"/>
    <w:semiHidden/>
    <w:unhideWhenUsed/>
    <w:rsid w:val="00560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77F"/>
    <w:rPr>
      <w:rFonts w:ascii="Tahoma" w:hAnsi="Tahoma" w:cs="Tahoma"/>
      <w:sz w:val="16"/>
      <w:szCs w:val="16"/>
    </w:rPr>
  </w:style>
  <w:style w:type="character" w:styleId="Hyperlink">
    <w:name w:val="Hyperlink"/>
    <w:basedOn w:val="DefaultParagraphFont"/>
    <w:uiPriority w:val="99"/>
    <w:unhideWhenUsed/>
    <w:rsid w:val="00824B35"/>
    <w:rPr>
      <w:color w:val="0000FF"/>
      <w:u w:val="single"/>
    </w:rPr>
  </w:style>
  <w:style w:type="character" w:customStyle="1" w:styleId="qcpullquotebody">
    <w:name w:val="qc_pullquotebody"/>
    <w:basedOn w:val="DefaultParagraphFont"/>
    <w:rsid w:val="005C3500"/>
  </w:style>
  <w:style w:type="character" w:styleId="Emphasis">
    <w:name w:val="Emphasis"/>
    <w:basedOn w:val="DefaultParagraphFont"/>
    <w:uiPriority w:val="20"/>
    <w:qFormat/>
    <w:rsid w:val="005C35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83057">
      <w:bodyDiv w:val="1"/>
      <w:marLeft w:val="0"/>
      <w:marRight w:val="0"/>
      <w:marTop w:val="0"/>
      <w:marBottom w:val="0"/>
      <w:divBdr>
        <w:top w:val="none" w:sz="0" w:space="0" w:color="auto"/>
        <w:left w:val="none" w:sz="0" w:space="0" w:color="auto"/>
        <w:bottom w:val="none" w:sz="0" w:space="0" w:color="auto"/>
        <w:right w:val="none" w:sz="0" w:space="0" w:color="auto"/>
      </w:divBdr>
    </w:div>
    <w:div w:id="1265112101">
      <w:bodyDiv w:val="1"/>
      <w:marLeft w:val="0"/>
      <w:marRight w:val="0"/>
      <w:marTop w:val="0"/>
      <w:marBottom w:val="0"/>
      <w:divBdr>
        <w:top w:val="none" w:sz="0" w:space="0" w:color="auto"/>
        <w:left w:val="none" w:sz="0" w:space="0" w:color="auto"/>
        <w:bottom w:val="none" w:sz="0" w:space="0" w:color="auto"/>
        <w:right w:val="none" w:sz="0" w:space="0" w:color="auto"/>
      </w:divBdr>
    </w:div>
    <w:div w:id="1277638356">
      <w:bodyDiv w:val="1"/>
      <w:marLeft w:val="0"/>
      <w:marRight w:val="0"/>
      <w:marTop w:val="0"/>
      <w:marBottom w:val="0"/>
      <w:divBdr>
        <w:top w:val="none" w:sz="0" w:space="0" w:color="auto"/>
        <w:left w:val="none" w:sz="0" w:space="0" w:color="auto"/>
        <w:bottom w:val="none" w:sz="0" w:space="0" w:color="auto"/>
        <w:right w:val="none" w:sz="0" w:space="0" w:color="auto"/>
      </w:divBdr>
    </w:div>
    <w:div w:id="184170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levy697@earthlink.net"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3415</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Queens College</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Faulkner</dc:creator>
  <cp:lastModifiedBy>Colleen Cool</cp:lastModifiedBy>
  <cp:revision>2</cp:revision>
  <cp:lastPrinted>2013-09-24T11:34:00Z</cp:lastPrinted>
  <dcterms:created xsi:type="dcterms:W3CDTF">2014-01-06T23:04:00Z</dcterms:created>
  <dcterms:modified xsi:type="dcterms:W3CDTF">2014-01-06T23:04:00Z</dcterms:modified>
</cp:coreProperties>
</file>