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B9" w:rsidRDefault="008C507D">
      <w:pPr>
        <w:rPr>
          <w:b/>
          <w:color w:val="FFFFFF" w:themeColor="background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-1295400</wp:posOffset>
            </wp:positionV>
            <wp:extent cx="8010525" cy="4314825"/>
            <wp:effectExtent l="0" t="0" r="9525" b="9525"/>
            <wp:wrapNone/>
            <wp:docPr id="2" name="Picture 2" descr="Image result for p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w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581" cy="431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740" w:rsidRDefault="00D66740">
      <w:pPr>
        <w:rPr>
          <w:b/>
          <w:color w:val="FFFFFF" w:themeColor="background1"/>
          <w:sz w:val="44"/>
          <w:szCs w:val="44"/>
        </w:rPr>
      </w:pPr>
    </w:p>
    <w:p w:rsidR="00D66740" w:rsidRDefault="00D66740">
      <w:pPr>
        <w:rPr>
          <w:b/>
          <w:color w:val="FFFFFF" w:themeColor="background1"/>
          <w:sz w:val="44"/>
          <w:szCs w:val="44"/>
        </w:rPr>
      </w:pPr>
    </w:p>
    <w:p w:rsidR="00D66740" w:rsidRDefault="00D66740">
      <w:pPr>
        <w:rPr>
          <w:b/>
          <w:color w:val="FFFFFF" w:themeColor="background1"/>
          <w:sz w:val="44"/>
          <w:szCs w:val="44"/>
        </w:rPr>
      </w:pPr>
    </w:p>
    <w:p w:rsidR="009264DA" w:rsidRDefault="009264DA" w:rsidP="003767DF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Visit the Manhattan Office of</w:t>
      </w:r>
    </w:p>
    <w:p w:rsidR="003767DF" w:rsidRPr="003767DF" w:rsidRDefault="003767DF" w:rsidP="003767DF">
      <w:pPr>
        <w:spacing w:after="0"/>
        <w:jc w:val="center"/>
        <w:rPr>
          <w:b/>
          <w:sz w:val="52"/>
          <w:szCs w:val="52"/>
        </w:rPr>
      </w:pPr>
      <w:r w:rsidRPr="003767DF">
        <w:rPr>
          <w:b/>
          <w:noProof/>
          <w:sz w:val="52"/>
          <w:szCs w:val="52"/>
        </w:rPr>
        <w:t>PWC</w:t>
      </w:r>
    </w:p>
    <w:p w:rsidR="00D713A6" w:rsidRDefault="009264DA" w:rsidP="003429F6">
      <w:pPr>
        <w:ind w:left="-1080" w:right="-1080"/>
        <w:jc w:val="center"/>
        <w:rPr>
          <w:b/>
          <w:sz w:val="36"/>
          <w:szCs w:val="36"/>
        </w:rPr>
      </w:pPr>
      <w:r w:rsidRPr="003429F6">
        <w:rPr>
          <w:b/>
          <w:sz w:val="36"/>
          <w:szCs w:val="36"/>
        </w:rPr>
        <w:t xml:space="preserve">Explore career opportunities, network with Queens College Alumni, and learn more about why </w:t>
      </w:r>
      <w:r w:rsidR="00AF5145">
        <w:rPr>
          <w:b/>
          <w:sz w:val="36"/>
          <w:szCs w:val="36"/>
        </w:rPr>
        <w:t>PWC</w:t>
      </w:r>
      <w:r w:rsidRPr="003429F6">
        <w:rPr>
          <w:b/>
          <w:sz w:val="36"/>
          <w:szCs w:val="36"/>
        </w:rPr>
        <w:t xml:space="preserve"> is great place for a career.</w:t>
      </w:r>
    </w:p>
    <w:p w:rsidR="00DB41CB" w:rsidRPr="00DB41CB" w:rsidRDefault="00DB41CB" w:rsidP="00DB41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ajorHAnsi" w:hAnsiTheme="majorHAnsi" w:cs="Arial"/>
        </w:rPr>
      </w:pPr>
      <w:r w:rsidRPr="00DB41CB">
        <w:rPr>
          <w:rFonts w:asciiTheme="majorHAnsi" w:hAnsiTheme="majorHAnsi" w:cs="Arial"/>
        </w:rPr>
        <w:t>PwC’s accounting practice originated in London well over a century ago. As times changed and PwC expanded worldwide, our commitment to clients—like you—never wavered. With us, you’re always supported by a global network of more than 236,000 people in 158 countries with one goal: to help your business thrive.</w:t>
      </w:r>
    </w:p>
    <w:p w:rsidR="00DB41CB" w:rsidRPr="00DB41CB" w:rsidRDefault="00DB41CB" w:rsidP="00DB41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ajorHAnsi" w:hAnsiTheme="majorHAnsi" w:cs="Arial"/>
        </w:rPr>
      </w:pPr>
      <w:r w:rsidRPr="00DB41CB">
        <w:rPr>
          <w:rFonts w:asciiTheme="majorHAnsi" w:hAnsiTheme="majorHAnsi" w:cs="Arial"/>
        </w:rPr>
        <w:t>PwC’s professional services, including</w:t>
      </w:r>
      <w:hyperlink r:id="rId7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 </w:t>
        </w:r>
      </w:hyperlink>
      <w:hyperlink r:id="rId8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audit and assurance</w:t>
        </w:r>
      </w:hyperlink>
      <w:r w:rsidRPr="00DB41CB">
        <w:rPr>
          <w:rFonts w:asciiTheme="majorHAnsi" w:hAnsiTheme="majorHAnsi" w:cs="Arial"/>
        </w:rPr>
        <w:t>, </w:t>
      </w:r>
      <w:hyperlink r:id="rId9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tax</w:t>
        </w:r>
      </w:hyperlink>
      <w:r w:rsidRPr="00DB41CB">
        <w:rPr>
          <w:rFonts w:asciiTheme="majorHAnsi" w:hAnsiTheme="majorHAnsi" w:cs="Arial"/>
        </w:rPr>
        <w:t> and </w:t>
      </w:r>
      <w:hyperlink r:id="rId10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consulting</w:t>
        </w:r>
      </w:hyperlink>
      <w:r w:rsidRPr="00DB41CB">
        <w:rPr>
          <w:rFonts w:asciiTheme="majorHAnsi" w:hAnsiTheme="majorHAnsi" w:cs="Arial"/>
        </w:rPr>
        <w:t>, cover such areas as</w:t>
      </w:r>
      <w:r w:rsidRPr="00DB41CB">
        <w:rPr>
          <w:rFonts w:asciiTheme="majorHAnsi" w:hAnsiTheme="majorHAnsi" w:cs="Arial"/>
        </w:rPr>
        <w:t xml:space="preserve"> </w:t>
      </w:r>
      <w:hyperlink r:id="rId11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cyber</w:t>
        </w:r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 xml:space="preserve"> </w:t>
        </w:r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security and privacy</w:t>
        </w:r>
      </w:hyperlink>
      <w:r w:rsidRPr="00DB41CB">
        <w:rPr>
          <w:rFonts w:asciiTheme="majorHAnsi" w:hAnsiTheme="majorHAnsi" w:cs="Arial"/>
        </w:rPr>
        <w:t>, </w:t>
      </w:r>
      <w:hyperlink r:id="rId12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 </w:t>
        </w:r>
      </w:hyperlink>
      <w:hyperlink r:id="rId13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human resources</w:t>
        </w:r>
      </w:hyperlink>
      <w:r w:rsidRPr="00DB41CB">
        <w:rPr>
          <w:rFonts w:asciiTheme="majorHAnsi" w:hAnsiTheme="majorHAnsi" w:cs="Arial"/>
        </w:rPr>
        <w:t>, </w:t>
      </w:r>
      <w:hyperlink r:id="rId14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deals</w:t>
        </w:r>
      </w:hyperlink>
      <w:r w:rsidRPr="00DB41CB">
        <w:rPr>
          <w:rFonts w:asciiTheme="majorHAnsi" w:hAnsiTheme="majorHAnsi" w:cs="Arial"/>
        </w:rPr>
        <w:t> and</w:t>
      </w:r>
      <w:hyperlink r:id="rId15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 </w:t>
        </w:r>
      </w:hyperlink>
      <w:hyperlink r:id="rId16" w:history="1">
        <w:r w:rsidRPr="00DB41CB">
          <w:rPr>
            <w:rStyle w:val="Hyperlink"/>
            <w:rFonts w:asciiTheme="majorHAnsi" w:hAnsiTheme="majorHAnsi" w:cs="Arial"/>
            <w:color w:val="auto"/>
            <w:u w:val="none"/>
            <w:bdr w:val="none" w:sz="0" w:space="0" w:color="auto" w:frame="1"/>
          </w:rPr>
          <w:t>forensics</w:t>
        </w:r>
      </w:hyperlink>
      <w:r w:rsidRPr="00DB41CB">
        <w:rPr>
          <w:rFonts w:asciiTheme="majorHAnsi" w:hAnsiTheme="majorHAnsi" w:cs="Arial"/>
        </w:rPr>
        <w:t>. We help resolve complex issues and identify opportunities across these industries.</w:t>
      </w:r>
    </w:p>
    <w:p w:rsidR="003767DF" w:rsidRDefault="003767DF" w:rsidP="00D713A6">
      <w:pPr>
        <w:ind w:left="-1440" w:right="-1440"/>
        <w:jc w:val="center"/>
        <w:rPr>
          <w:rFonts w:ascii="Arial" w:hAnsi="Arial" w:cs="Arial"/>
          <w:shd w:val="clear" w:color="auto" w:fill="FFFFFF"/>
        </w:rPr>
      </w:pPr>
    </w:p>
    <w:p w:rsidR="00D713A6" w:rsidRPr="00033EE1" w:rsidRDefault="003767DF" w:rsidP="00D713A6">
      <w:pPr>
        <w:ind w:left="-1440" w:right="-1440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Nov</w:t>
      </w:r>
      <w:r w:rsidR="00D713A6" w:rsidRPr="00033EE1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ember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30</w:t>
      </w:r>
      <w:r w:rsidR="00D713A6" w:rsidRPr="00033EE1">
        <w:rPr>
          <w:rFonts w:ascii="Times New Roman" w:eastAsia="Times New Roman" w:hAnsi="Times New Roman" w:cs="Times New Roman"/>
          <w:b/>
          <w:color w:val="222222"/>
          <w:sz w:val="40"/>
          <w:szCs w:val="4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  |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  10am</w:t>
      </w:r>
      <w:r w:rsidR="00D713A6" w:rsidRPr="00033EE1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-1</w:t>
      </w:r>
      <w:r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2p</w:t>
      </w:r>
      <w:r w:rsidR="00D713A6" w:rsidRPr="00033EE1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m.</w:t>
      </w:r>
    </w:p>
    <w:p w:rsidR="00D713A6" w:rsidRPr="00C64ABD" w:rsidRDefault="00AA0427" w:rsidP="00033EE1">
      <w:pPr>
        <w:spacing w:after="0"/>
        <w:ind w:left="-1440" w:right="-1440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Sophomore and</w:t>
      </w:r>
      <w:r w:rsidR="00D713A6"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Junior </w:t>
      </w:r>
      <w:bookmarkStart w:id="0" w:name="_GoBack"/>
      <w:bookmarkEnd w:id="0"/>
      <w:r w:rsidR="00D713A6"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Accounting students</w:t>
      </w:r>
    </w:p>
    <w:p w:rsidR="00D713A6" w:rsidRPr="00C64ABD" w:rsidRDefault="00D713A6" w:rsidP="00033EE1">
      <w:pPr>
        <w:spacing w:after="0"/>
        <w:ind w:left="-1440" w:right="-1440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Limited space</w:t>
      </w:r>
    </w:p>
    <w:p w:rsidR="00D713A6" w:rsidRDefault="00D713A6" w:rsidP="00033EE1">
      <w:pPr>
        <w:spacing w:after="0"/>
        <w:ind w:left="-1440" w:right="-1440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  <w:u w:val="single"/>
        </w:rPr>
        <w:t>Application Deadline</w:t>
      </w:r>
      <w:r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: </w:t>
      </w:r>
      <w:r w:rsidR="00AF5145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Nov</w:t>
      </w:r>
      <w:r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ember </w:t>
      </w:r>
      <w:r w:rsidR="00807AB1"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1</w:t>
      </w:r>
      <w:r w:rsidR="00AF5145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6</w:t>
      </w:r>
      <w:r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  <w:vertAlign w:val="superscript"/>
        </w:rPr>
        <w:t>th</w:t>
      </w:r>
      <w:r w:rsidRPr="00C64ABD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</w:t>
      </w:r>
    </w:p>
    <w:p w:rsidR="004B3067" w:rsidRPr="004B3067" w:rsidRDefault="004B3067" w:rsidP="00CB6EA7">
      <w:pPr>
        <w:spacing w:after="0"/>
        <w:ind w:left="-1440" w:right="-1440"/>
        <w:jc w:val="center"/>
        <w:rPr>
          <w:rStyle w:val="Hyperlink"/>
          <w:rFonts w:ascii="Times New Roman" w:eastAsia="Times New Roman" w:hAnsi="Times New Roman" w:cs="Times New Roman"/>
          <w:b/>
          <w:sz w:val="32"/>
          <w:szCs w:val="32"/>
        </w:rPr>
      </w:pPr>
      <w:r w:rsidRPr="004B3067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Apply at: </w:t>
      </w:r>
      <w:hyperlink r:id="rId17" w:history="1">
        <w:r w:rsidRPr="004B3067">
          <w:rPr>
            <w:rStyle w:val="Hyperlink"/>
            <w:rFonts w:ascii="Times New Roman" w:eastAsia="Times New Roman" w:hAnsi="Times New Roman" w:cs="Times New Roman"/>
            <w:b/>
            <w:sz w:val="32"/>
            <w:szCs w:val="32"/>
          </w:rPr>
          <w:t>http://tinyurl.com/y9vs7bqv</w:t>
        </w:r>
      </w:hyperlink>
    </w:p>
    <w:p w:rsidR="00C64ABD" w:rsidRPr="003429F6" w:rsidRDefault="00C64ABD" w:rsidP="003429F6">
      <w:pPr>
        <w:spacing w:after="0"/>
        <w:ind w:left="-1080" w:right="-108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3429F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Accepted students need to attend a one hour briefing on </w:t>
      </w:r>
      <w:r w:rsidR="00AF514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Nove</w:t>
      </w:r>
      <w:r w:rsidRPr="003429F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mber 2</w:t>
      </w:r>
      <w:r w:rsidR="00AF514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8</w:t>
      </w:r>
      <w:r w:rsidRPr="003429F6">
        <w:rPr>
          <w:rFonts w:ascii="Times New Roman" w:eastAsia="Times New Roman" w:hAnsi="Times New Roman" w:cs="Times New Roman"/>
          <w:b/>
          <w:color w:val="222222"/>
          <w:sz w:val="28"/>
          <w:szCs w:val="28"/>
          <w:vertAlign w:val="superscript"/>
        </w:rPr>
        <w:t>th</w:t>
      </w:r>
      <w:r w:rsidRPr="003429F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C3367B" w:rsidRPr="003429F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during free hour</w:t>
      </w:r>
    </w:p>
    <w:p w:rsidR="00033EE1" w:rsidRPr="00D713A6" w:rsidRDefault="004B3067" w:rsidP="00033EE1">
      <w:pPr>
        <w:spacing w:after="0"/>
        <w:ind w:left="-1440" w:right="-144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9666CBF" wp14:editId="09669D7A">
            <wp:simplePos x="0" y="0"/>
            <wp:positionH relativeFrom="column">
              <wp:posOffset>5057775</wp:posOffset>
            </wp:positionH>
            <wp:positionV relativeFrom="paragraph">
              <wp:posOffset>152400</wp:posOffset>
            </wp:positionV>
            <wp:extent cx="1647825" cy="1552575"/>
            <wp:effectExtent l="0" t="0" r="9525" b="9525"/>
            <wp:wrapNone/>
            <wp:docPr id="4" name="Picture 4" descr="C:\Users\MIni\Desktop\qc world of 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ni\Desktop\qc world of work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EE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563880</wp:posOffset>
            </wp:positionV>
            <wp:extent cx="2295144" cy="813816"/>
            <wp:effectExtent l="0" t="0" r="0" b="5715"/>
            <wp:wrapNone/>
            <wp:docPr id="3" name="Picture 3" descr="Image result for queens college world of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queens college world of wor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4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3EE1" w:rsidRPr="00D71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40"/>
    <w:rsid w:val="00033EE1"/>
    <w:rsid w:val="00081810"/>
    <w:rsid w:val="00162470"/>
    <w:rsid w:val="0029234E"/>
    <w:rsid w:val="003429F6"/>
    <w:rsid w:val="003767DF"/>
    <w:rsid w:val="004B3067"/>
    <w:rsid w:val="00664C40"/>
    <w:rsid w:val="00807AB1"/>
    <w:rsid w:val="00893221"/>
    <w:rsid w:val="008C507D"/>
    <w:rsid w:val="009264DA"/>
    <w:rsid w:val="00A477E8"/>
    <w:rsid w:val="00AA0427"/>
    <w:rsid w:val="00AF5145"/>
    <w:rsid w:val="00B540BA"/>
    <w:rsid w:val="00C3367B"/>
    <w:rsid w:val="00C64ABD"/>
    <w:rsid w:val="00CB6EA7"/>
    <w:rsid w:val="00CF3CBB"/>
    <w:rsid w:val="00D05CA4"/>
    <w:rsid w:val="00D66740"/>
    <w:rsid w:val="00D713A6"/>
    <w:rsid w:val="00D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E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E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c.com/us/en/services/audit-assurance.html" TargetMode="External"/><Relationship Id="rId13" Type="http://schemas.openxmlformats.org/officeDocument/2006/relationships/hyperlink" Target="https://www.pwc.com/us/en/services/hr-management.html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pwc.com/us/en/audit-assurance-services.html" TargetMode="External"/><Relationship Id="rId12" Type="http://schemas.openxmlformats.org/officeDocument/2006/relationships/hyperlink" Target="https://www.pwc.com/us/en/hr-management.html" TargetMode="External"/><Relationship Id="rId17" Type="http://schemas.openxmlformats.org/officeDocument/2006/relationships/hyperlink" Target="http://tinyurl.com/y9vs7bq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wc.com/us/en/services/forensic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pwc.com/us/en/services/consulting/cybersecurit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wc.com/us/en/forensic-services.html" TargetMode="External"/><Relationship Id="rId10" Type="http://schemas.openxmlformats.org/officeDocument/2006/relationships/hyperlink" Target="https://www.pwc.com/us/en/services/consulting.html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pwc.com/us/en/services/tax.html" TargetMode="External"/><Relationship Id="rId14" Type="http://schemas.openxmlformats.org/officeDocument/2006/relationships/hyperlink" Target="https://www.pwc.com/us/en/transaction-servi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C8FD-F0CE-4EEA-9D45-2F75EC0A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MIni</cp:lastModifiedBy>
  <cp:revision>7</cp:revision>
  <cp:lastPrinted>2018-08-23T18:40:00Z</cp:lastPrinted>
  <dcterms:created xsi:type="dcterms:W3CDTF">2018-08-23T18:41:00Z</dcterms:created>
  <dcterms:modified xsi:type="dcterms:W3CDTF">2018-10-14T19:42:00Z</dcterms:modified>
</cp:coreProperties>
</file>